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B5CA" w14:textId="1420169E" w:rsidR="00C76801" w:rsidRDefault="00C76801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2E106339" w14:textId="45BB418C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11EFAFD5" w14:textId="77777777" w:rsidR="005E2828" w:rsidRPr="007F27E5" w:rsidRDefault="005E2828" w:rsidP="005E282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ritannic Bold" w:hAnsi="Britannic Bold"/>
          <w:b/>
          <w:sz w:val="60"/>
          <w:szCs w:val="60"/>
          <w:lang w:val="en-US"/>
        </w:rPr>
      </w:pPr>
      <w:r w:rsidRPr="007F27E5">
        <w:rPr>
          <w:rFonts w:ascii="Britannic Bold" w:hAnsi="Britannic Bold"/>
          <w:b/>
          <w:sz w:val="60"/>
          <w:szCs w:val="60"/>
          <w:lang w:val="en-US"/>
        </w:rPr>
        <w:t>JOHN SPENDLUFFE</w:t>
      </w:r>
    </w:p>
    <w:p w14:paraId="33394317" w14:textId="77777777" w:rsidR="005E2828" w:rsidRPr="007F27E5" w:rsidRDefault="005E2828" w:rsidP="005E282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ritannic Bold" w:hAnsi="Britannic Bold"/>
          <w:b/>
          <w:sz w:val="60"/>
          <w:szCs w:val="60"/>
          <w:lang w:val="en-US"/>
        </w:rPr>
      </w:pPr>
      <w:r w:rsidRPr="007F27E5">
        <w:rPr>
          <w:rFonts w:ascii="Britannic Bold" w:hAnsi="Britannic Bold"/>
          <w:b/>
          <w:sz w:val="60"/>
          <w:szCs w:val="60"/>
          <w:lang w:val="en-US"/>
        </w:rPr>
        <w:t>TECHNOLOGY COLLEGE</w:t>
      </w:r>
    </w:p>
    <w:p w14:paraId="36CF927D" w14:textId="77777777" w:rsidR="005E2828" w:rsidRPr="007F27E5" w:rsidRDefault="005E2828" w:rsidP="005E2828">
      <w:pPr>
        <w:jc w:val="center"/>
        <w:rPr>
          <w:rFonts w:ascii="Britannic Bold" w:eastAsia="Times New Roman" w:hAnsi="Britannic Bold"/>
          <w:sz w:val="56"/>
          <w:szCs w:val="56"/>
          <w:lang w:val="en-US"/>
        </w:rPr>
      </w:pPr>
    </w:p>
    <w:p w14:paraId="543383AD" w14:textId="77777777" w:rsidR="005E2828" w:rsidRPr="007F27E5" w:rsidRDefault="005E2828" w:rsidP="005E2828">
      <w:pPr>
        <w:jc w:val="center"/>
        <w:rPr>
          <w:rFonts w:ascii="Britannic Bold" w:eastAsia="Times New Roman" w:hAnsi="Britannic Bold"/>
          <w:sz w:val="56"/>
          <w:szCs w:val="56"/>
          <w:lang w:val="en-US"/>
        </w:rPr>
      </w:pPr>
    </w:p>
    <w:p w14:paraId="574F5B83" w14:textId="77777777" w:rsidR="005E2828" w:rsidRPr="007F27E5" w:rsidRDefault="005E2828" w:rsidP="005E2828">
      <w:pPr>
        <w:jc w:val="center"/>
        <w:rPr>
          <w:rFonts w:eastAsia="Times New Roman"/>
        </w:rPr>
      </w:pPr>
      <w:r w:rsidRPr="00950F26">
        <w:rPr>
          <w:rFonts w:eastAsia="Times New Roman"/>
          <w:noProof/>
          <w:lang w:eastAsia="en-GB"/>
        </w:rPr>
        <w:drawing>
          <wp:inline distT="0" distB="0" distL="0" distR="0" wp14:anchorId="29C869F5" wp14:editId="08959614">
            <wp:extent cx="2228850" cy="2543175"/>
            <wp:effectExtent l="0" t="0" r="0" b="9525"/>
            <wp:docPr id="2" name="Picture 2" descr="john spendluffe logo BF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spendluffe logo BF tr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62" b="2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9E5D" w14:textId="77777777" w:rsidR="005E2828" w:rsidRPr="007F27E5" w:rsidRDefault="005E2828" w:rsidP="005E2828">
      <w:pPr>
        <w:tabs>
          <w:tab w:val="left" w:pos="4500"/>
        </w:tabs>
        <w:rPr>
          <w:rFonts w:ascii="Britannic Bold" w:eastAsia="Times New Roman" w:hAnsi="Britannic Bold"/>
          <w:sz w:val="72"/>
          <w:szCs w:val="72"/>
        </w:rPr>
      </w:pPr>
      <w:r w:rsidRPr="007F27E5">
        <w:rPr>
          <w:rFonts w:ascii="Britannic Bold" w:eastAsia="Times New Roman" w:hAnsi="Britannic Bold"/>
          <w:sz w:val="72"/>
          <w:szCs w:val="72"/>
        </w:rPr>
        <w:tab/>
      </w:r>
    </w:p>
    <w:p w14:paraId="53A60D3B" w14:textId="77777777" w:rsidR="005E2828" w:rsidRDefault="005E2828" w:rsidP="005E2828">
      <w:pPr>
        <w:tabs>
          <w:tab w:val="left" w:pos="4500"/>
        </w:tabs>
        <w:rPr>
          <w:rFonts w:ascii="Britannic Bold" w:eastAsia="Times New Roman" w:hAnsi="Britannic Bold"/>
          <w:sz w:val="72"/>
          <w:szCs w:val="72"/>
        </w:rPr>
      </w:pPr>
    </w:p>
    <w:p w14:paraId="24567A29" w14:textId="77777777" w:rsidR="005E2828" w:rsidRDefault="005E2828" w:rsidP="005E2828">
      <w:pPr>
        <w:tabs>
          <w:tab w:val="left" w:pos="4500"/>
        </w:tabs>
        <w:rPr>
          <w:rFonts w:ascii="Britannic Bold" w:eastAsia="Times New Roman" w:hAnsi="Britannic Bold"/>
          <w:sz w:val="72"/>
          <w:szCs w:val="72"/>
        </w:rPr>
      </w:pPr>
    </w:p>
    <w:p w14:paraId="249935B0" w14:textId="77777777" w:rsidR="005E2828" w:rsidRPr="007F27E5" w:rsidRDefault="005E2828" w:rsidP="005E2828">
      <w:pPr>
        <w:tabs>
          <w:tab w:val="left" w:pos="4500"/>
        </w:tabs>
        <w:rPr>
          <w:rFonts w:ascii="Britannic Bold" w:eastAsia="Times New Roman" w:hAnsi="Britannic Bold"/>
          <w:sz w:val="72"/>
          <w:szCs w:val="72"/>
        </w:rPr>
      </w:pPr>
    </w:p>
    <w:p w14:paraId="45C30B20" w14:textId="27D0E4F9" w:rsidR="005E2828" w:rsidRDefault="005E2828" w:rsidP="005E2828">
      <w:pPr>
        <w:tabs>
          <w:tab w:val="left" w:pos="4500"/>
        </w:tabs>
        <w:jc w:val="center"/>
        <w:rPr>
          <w:rFonts w:ascii="Britannic Bold" w:eastAsia="Times New Roman" w:hAnsi="Britannic Bold" w:cs="Tahoma"/>
          <w:b/>
          <w:sz w:val="72"/>
          <w:szCs w:val="72"/>
        </w:rPr>
      </w:pPr>
      <w:r>
        <w:rPr>
          <w:rFonts w:ascii="Britannic Bold" w:eastAsia="Times New Roman" w:hAnsi="Britannic Bold" w:cs="Tahoma"/>
          <w:b/>
          <w:sz w:val="72"/>
          <w:szCs w:val="72"/>
        </w:rPr>
        <w:t>EXAMINATIONS</w:t>
      </w:r>
    </w:p>
    <w:p w14:paraId="0A480F65" w14:textId="77777777" w:rsidR="005E2828" w:rsidRDefault="005E2828" w:rsidP="005E2828">
      <w:pPr>
        <w:tabs>
          <w:tab w:val="left" w:pos="4500"/>
        </w:tabs>
        <w:jc w:val="center"/>
        <w:rPr>
          <w:rFonts w:ascii="Britannic Bold" w:eastAsia="Times New Roman" w:hAnsi="Britannic Bold" w:cs="Tahoma"/>
          <w:b/>
          <w:sz w:val="72"/>
          <w:szCs w:val="72"/>
        </w:rPr>
      </w:pPr>
      <w:r>
        <w:rPr>
          <w:rFonts w:ascii="Britannic Bold" w:eastAsia="Times New Roman" w:hAnsi="Britannic Bold" w:cs="Tahoma"/>
          <w:b/>
          <w:sz w:val="72"/>
          <w:szCs w:val="72"/>
        </w:rPr>
        <w:t xml:space="preserve">CONFLICTS OF INTEREST </w:t>
      </w:r>
    </w:p>
    <w:p w14:paraId="24AD5CA8" w14:textId="7A9AF4C0" w:rsidR="005E2828" w:rsidRDefault="005E2828" w:rsidP="005E2828">
      <w:pPr>
        <w:tabs>
          <w:tab w:val="left" w:pos="4500"/>
        </w:tabs>
        <w:jc w:val="center"/>
        <w:rPr>
          <w:rFonts w:ascii="Britannic Bold" w:eastAsia="Times New Roman" w:hAnsi="Britannic Bold" w:cs="Tahoma"/>
          <w:b/>
          <w:sz w:val="72"/>
          <w:szCs w:val="72"/>
        </w:rPr>
      </w:pPr>
      <w:r w:rsidRPr="00C15318">
        <w:rPr>
          <w:rFonts w:ascii="Britannic Bold" w:eastAsia="Times New Roman" w:hAnsi="Britannic Bold" w:cs="Tahoma"/>
          <w:b/>
          <w:sz w:val="72"/>
          <w:szCs w:val="72"/>
        </w:rPr>
        <w:t xml:space="preserve">POLICY </w:t>
      </w:r>
      <w:r w:rsidR="002D1A17" w:rsidRPr="00C15318">
        <w:rPr>
          <w:rFonts w:ascii="Britannic Bold" w:eastAsia="Times New Roman" w:hAnsi="Britannic Bold" w:cs="Tahoma"/>
          <w:b/>
          <w:sz w:val="72"/>
          <w:szCs w:val="72"/>
        </w:rPr>
        <w:t>2023-2024</w:t>
      </w:r>
    </w:p>
    <w:p w14:paraId="3BCE6868" w14:textId="788841BC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1E4EAEFA" w14:textId="4B9B7307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2598B4F4" w14:textId="6E62AD35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5A9BCFC6" w14:textId="267ED325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6A7701B7" w14:textId="7289AA0F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37DFAE74" w14:textId="1B3459DB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4267E580" w14:textId="77777777" w:rsidR="000E2F68" w:rsidRPr="00A53FC4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7E685DEF" w14:textId="77777777" w:rsidR="00BF12A1" w:rsidRPr="002B5670" w:rsidRDefault="00BF12A1" w:rsidP="00AB4A6A">
      <w:pPr>
        <w:pStyle w:val="Headinglevel1"/>
        <w:spacing w:before="240" w:line="276" w:lineRule="auto"/>
        <w:jc w:val="both"/>
        <w:rPr>
          <w:szCs w:val="24"/>
        </w:rPr>
      </w:pPr>
      <w:r>
        <w:rPr>
          <w:szCs w:val="24"/>
        </w:rPr>
        <w:t>Introduction</w:t>
      </w:r>
    </w:p>
    <w:p w14:paraId="005EE247" w14:textId="6080DD5F" w:rsidR="006C485A" w:rsidRDefault="00086C73" w:rsidP="0034291B">
      <w:pPr>
        <w:spacing w:after="120" w:line="276" w:lineRule="auto"/>
        <w:jc w:val="both"/>
        <w:rPr>
          <w:rFonts w:cstheme="minorHAnsi"/>
        </w:rPr>
      </w:pPr>
      <w:r w:rsidRPr="00086C73">
        <w:rPr>
          <w:rFonts w:cs="Arial"/>
        </w:rPr>
        <w:t>John Spendluffe Technology College</w:t>
      </w:r>
      <w:r w:rsidR="00E579ED" w:rsidRPr="00086C73">
        <w:rPr>
          <w:rFonts w:cs="Arial"/>
        </w:rPr>
        <w:t xml:space="preserve"> </w:t>
      </w:r>
      <w:r w:rsidR="00E579ED">
        <w:rPr>
          <w:rFonts w:cs="Arial"/>
        </w:rPr>
        <w:t xml:space="preserve">manages conflicts of interest </w:t>
      </w:r>
      <w:r w:rsidR="00BF12A1" w:rsidRPr="00F460A0">
        <w:rPr>
          <w:rFonts w:cs="Arial"/>
        </w:rPr>
        <w:t xml:space="preserve">in accordance with the </w:t>
      </w:r>
      <w:r w:rsidR="00BF12A1" w:rsidRPr="00F460A0">
        <w:rPr>
          <w:rFonts w:ascii="Verdana" w:hAnsi="Verdana" w:cs="Arial"/>
          <w:sz w:val="20"/>
          <w:szCs w:val="20"/>
        </w:rPr>
        <w:t xml:space="preserve">JCQ </w:t>
      </w:r>
      <w:hyperlink r:id="rId12" w:history="1">
        <w:r w:rsidR="00DB1524">
          <w:rPr>
            <w:rStyle w:val="Hyperlink"/>
            <w:rFonts w:ascii="Verdana" w:hAnsi="Verdana" w:cs="Arial"/>
            <w:sz w:val="20"/>
            <w:szCs w:val="20"/>
            <w:u w:val="none"/>
          </w:rPr>
          <w:t>.</w:t>
        </w:r>
      </w:hyperlink>
      <w:r w:rsidR="00DB1524">
        <w:rPr>
          <w:rStyle w:val="Hyperlink"/>
          <w:rFonts w:ascii="Verdana" w:hAnsi="Verdana" w:cs="Arial"/>
          <w:sz w:val="20"/>
          <w:szCs w:val="20"/>
          <w:u w:val="none"/>
        </w:rPr>
        <w:t xml:space="preserve"> </w:t>
      </w:r>
      <w:r w:rsidR="00E579ED" w:rsidRPr="00E579ED">
        <w:rPr>
          <w:rFonts w:cs="Arial"/>
          <w:szCs w:val="22"/>
        </w:rPr>
        <w:t xml:space="preserve">Roles and responsibilities </w:t>
      </w:r>
      <w:r w:rsidR="009F1F5C">
        <w:rPr>
          <w:rFonts w:cs="Arial"/>
          <w:szCs w:val="22"/>
        </w:rPr>
        <w:t>for</w:t>
      </w:r>
      <w:r w:rsidR="00E579ED" w:rsidRPr="00E579ED">
        <w:rPr>
          <w:rFonts w:cs="Arial"/>
          <w:szCs w:val="22"/>
        </w:rPr>
        <w:t xml:space="preserve"> normal delivery arrangements are </w:t>
      </w:r>
      <w:r w:rsidR="009F1F5C">
        <w:rPr>
          <w:rFonts w:cs="Arial"/>
          <w:szCs w:val="22"/>
        </w:rPr>
        <w:t>detailed</w:t>
      </w:r>
      <w:r w:rsidR="00E579ED" w:rsidRPr="00E579ED">
        <w:rPr>
          <w:rFonts w:cs="Arial"/>
          <w:szCs w:val="22"/>
        </w:rPr>
        <w:t xml:space="preserve"> </w:t>
      </w:r>
      <w:r w:rsidR="009E0E83">
        <w:rPr>
          <w:rFonts w:cs="Arial"/>
          <w:szCs w:val="22"/>
        </w:rPr>
        <w:t xml:space="preserve">in the </w:t>
      </w:r>
      <w:r w:rsidR="009E0E83" w:rsidRPr="00C15318">
        <w:rPr>
          <w:rFonts w:cs="Arial"/>
          <w:szCs w:val="22"/>
        </w:rPr>
        <w:t xml:space="preserve">JSTC </w:t>
      </w:r>
      <w:r w:rsidR="00DB1524" w:rsidRPr="00C15318">
        <w:rPr>
          <w:rFonts w:cs="Arial"/>
          <w:szCs w:val="22"/>
        </w:rPr>
        <w:t xml:space="preserve">Exams </w:t>
      </w:r>
      <w:r w:rsidR="009E0E83" w:rsidRPr="00C15318">
        <w:rPr>
          <w:rFonts w:cs="Arial"/>
          <w:szCs w:val="22"/>
        </w:rPr>
        <w:t xml:space="preserve">Policy </w:t>
      </w:r>
      <w:r w:rsidR="002D1A17" w:rsidRPr="00C15318">
        <w:rPr>
          <w:rFonts w:cs="Arial"/>
          <w:szCs w:val="22"/>
        </w:rPr>
        <w:t>2023-2024</w:t>
      </w:r>
      <w:r w:rsidR="00DB1524">
        <w:rPr>
          <w:rFonts w:cs="Arial"/>
          <w:szCs w:val="22"/>
        </w:rPr>
        <w:t xml:space="preserve"> </w:t>
      </w:r>
      <w:r w:rsidR="009F1F5C">
        <w:rPr>
          <w:rFonts w:cs="Arial"/>
          <w:szCs w:val="22"/>
        </w:rPr>
        <w:t>to ensure</w:t>
      </w:r>
      <w:r w:rsidR="00E579ED" w:rsidRPr="00B64EC4">
        <w:t xml:space="preserve"> that</w:t>
      </w:r>
      <w:r w:rsidR="00E579ED" w:rsidRPr="00B64EC4">
        <w:rPr>
          <w:rFonts w:cstheme="minorHAnsi"/>
        </w:rPr>
        <w:t xml:space="preserve"> awarding bodies are informed </w:t>
      </w:r>
      <w:r w:rsidR="00AB7022">
        <w:rPr>
          <w:rFonts w:cstheme="minorHAnsi"/>
        </w:rPr>
        <w:t xml:space="preserve">(where required) </w:t>
      </w:r>
      <w:r w:rsidR="00E579ED" w:rsidRPr="00B64EC4">
        <w:rPr>
          <w:rFonts w:cstheme="minorHAnsi"/>
        </w:rPr>
        <w:t xml:space="preserve">of any </w:t>
      </w:r>
      <w:r w:rsidR="00AB7022">
        <w:rPr>
          <w:rFonts w:cstheme="minorHAnsi"/>
        </w:rPr>
        <w:t xml:space="preserve">relevant </w:t>
      </w:r>
      <w:r w:rsidR="009F1F5C">
        <w:rPr>
          <w:rFonts w:cstheme="minorHAnsi"/>
        </w:rPr>
        <w:t>conflict</w:t>
      </w:r>
      <w:r w:rsidR="00E579ED" w:rsidRPr="00B64EC4">
        <w:rPr>
          <w:rFonts w:cstheme="minorHAnsi"/>
        </w:rPr>
        <w:t xml:space="preserve"> declared by members of centre staff and </w:t>
      </w:r>
      <w:r w:rsidR="009F1F5C">
        <w:rPr>
          <w:rFonts w:cstheme="minorHAnsi"/>
        </w:rPr>
        <w:t>records are maintained</w:t>
      </w:r>
      <w:r w:rsidR="00E579ED" w:rsidRPr="00B64EC4">
        <w:rPr>
          <w:rFonts w:cs="Arial"/>
          <w:bCs/>
          <w:color w:val="000000"/>
        </w:rPr>
        <w:t xml:space="preserve"> that confirm the</w:t>
      </w:r>
      <w:r w:rsidR="00E579ED" w:rsidRPr="00B64EC4">
        <w:rPr>
          <w:rFonts w:cs="Arial"/>
          <w:sz w:val="18"/>
          <w:szCs w:val="18"/>
        </w:rPr>
        <w:t xml:space="preserve"> </w:t>
      </w:r>
      <w:r w:rsidR="00E579ED" w:rsidRPr="00B64EC4">
        <w:rPr>
          <w:rFonts w:cs="Arial"/>
          <w:bCs/>
        </w:rPr>
        <w:t xml:space="preserve">measures taken/protocols in place to mitigate any potential risk to the integrity of the qualifications affected </w:t>
      </w:r>
      <w:r w:rsidR="00E579ED" w:rsidRPr="00B64EC4">
        <w:rPr>
          <w:rFonts w:cstheme="minorHAnsi"/>
        </w:rPr>
        <w:t>before the published deadline for entries</w:t>
      </w:r>
      <w:r w:rsidR="009F1F5C">
        <w:rPr>
          <w:rFonts w:cstheme="minorHAnsi"/>
        </w:rPr>
        <w:t>.</w:t>
      </w:r>
    </w:p>
    <w:p w14:paraId="77936CDB" w14:textId="6BA1E450" w:rsidR="00BF12A1" w:rsidRPr="000251A9" w:rsidRDefault="009F1F5C" w:rsidP="0034291B">
      <w:pPr>
        <w:spacing w:after="120" w:line="276" w:lineRule="auto"/>
        <w:jc w:val="both"/>
        <w:rPr>
          <w:rFonts w:eastAsia="Calibri" w:cstheme="minorHAnsi"/>
          <w:bCs/>
        </w:rPr>
      </w:pPr>
      <w:r w:rsidRPr="0093353A">
        <w:rPr>
          <w:rFonts w:eastAsia="Calibri" w:cstheme="minorHAnsi"/>
          <w:bCs/>
        </w:rPr>
        <w:t>Our general centre policies regarding malpractice, maladministration and conflicts of interest have been reviewed to ensure they address the specific challenges of delivery in Summer 202</w:t>
      </w:r>
      <w:r w:rsidR="00CE24EF">
        <w:rPr>
          <w:rFonts w:eastAsia="Calibri" w:cstheme="minorHAnsi"/>
          <w:bCs/>
        </w:rPr>
        <w:t>4</w:t>
      </w:r>
      <w:r w:rsidRPr="0093353A">
        <w:rPr>
          <w:rFonts w:eastAsia="Calibri" w:cstheme="minorHAnsi"/>
          <w:bCs/>
        </w:rPr>
        <w:t>.</w:t>
      </w:r>
    </w:p>
    <w:p w14:paraId="6DC3FFAC" w14:textId="77777777" w:rsidR="00BF12A1" w:rsidRPr="002B5670" w:rsidRDefault="00BF12A1" w:rsidP="0034291B">
      <w:pPr>
        <w:pStyle w:val="Headinglevel1"/>
        <w:spacing w:before="240" w:line="276" w:lineRule="auto"/>
        <w:jc w:val="both"/>
        <w:rPr>
          <w:szCs w:val="24"/>
        </w:rPr>
      </w:pPr>
      <w:r>
        <w:rPr>
          <w:szCs w:val="24"/>
        </w:rPr>
        <w:t>Purpose of the policy</w:t>
      </w:r>
    </w:p>
    <w:p w14:paraId="23B93C0D" w14:textId="470714C9" w:rsidR="00BF12A1" w:rsidRDefault="00BF12A1" w:rsidP="00E9472E">
      <w:pPr>
        <w:spacing w:after="120" w:line="276" w:lineRule="auto"/>
      </w:pPr>
      <w:r w:rsidRPr="00BF12A1">
        <w:t xml:space="preserve">This policy addresses how we are </w:t>
      </w:r>
      <w:r w:rsidRPr="00C15318">
        <w:t xml:space="preserve">managing any potential conflicts of interest under the specific arrangements for delivery in Summer </w:t>
      </w:r>
      <w:r w:rsidR="002D1A17" w:rsidRPr="00C15318">
        <w:t>2023-2024</w:t>
      </w:r>
      <w:r w:rsidRPr="00C15318">
        <w:t>.</w:t>
      </w:r>
    </w:p>
    <w:p w14:paraId="1441909F" w14:textId="77777777" w:rsidR="00BF12A1" w:rsidRPr="00892B4B" w:rsidRDefault="00BF12A1" w:rsidP="00E9472E">
      <w:pPr>
        <w:pStyle w:val="Headinglevel1"/>
        <w:spacing w:before="240" w:line="276" w:lineRule="auto"/>
        <w:jc w:val="both"/>
      </w:pPr>
      <w:r>
        <w:t>General principles</w:t>
      </w:r>
    </w:p>
    <w:p w14:paraId="776B54CD" w14:textId="21B2FAB1" w:rsidR="007E09DF" w:rsidRDefault="007E09DF" w:rsidP="0034291B">
      <w:pPr>
        <w:spacing w:after="120" w:line="276" w:lineRule="auto"/>
      </w:pPr>
      <w:r>
        <w:t xml:space="preserve">A process is in place to collect </w:t>
      </w:r>
      <w:r w:rsidR="00536B50">
        <w:t xml:space="preserve">any </w:t>
      </w:r>
      <w:r>
        <w:t>declaration</w:t>
      </w:r>
      <w:r w:rsidR="00536B50">
        <w:t xml:space="preserve"> </w:t>
      </w:r>
      <w:r>
        <w:t xml:space="preserve">of </w:t>
      </w:r>
      <w:r w:rsidR="00862CBB">
        <w:t xml:space="preserve">personal </w:t>
      </w:r>
      <w:r>
        <w:t xml:space="preserve">interest </w:t>
      </w:r>
      <w:r w:rsidR="00536B50">
        <w:t>from all staff involved in the arrangements for Summer 20</w:t>
      </w:r>
      <w:r w:rsidR="00CE24EF">
        <w:t>24</w:t>
      </w:r>
      <w:r w:rsidR="00536B50">
        <w:t xml:space="preserve"> and to </w:t>
      </w:r>
      <w:r w:rsidR="0034291B">
        <w:t>manage any potential conflicts of interest.</w:t>
      </w:r>
    </w:p>
    <w:p w14:paraId="378FD361" w14:textId="3DED2F85" w:rsidR="00862CBB" w:rsidRPr="00862CBB" w:rsidRDefault="00862CBB" w:rsidP="00862CBB">
      <w:pPr>
        <w:spacing w:after="120" w:line="276" w:lineRule="auto"/>
        <w:jc w:val="both"/>
        <w:rPr>
          <w:rFonts w:eastAsia="Calibri" w:cstheme="minorHAnsi"/>
          <w:bCs/>
          <w:i/>
          <w:iCs/>
        </w:rPr>
      </w:pPr>
      <w:r w:rsidRPr="005950A5">
        <w:rPr>
          <w:rFonts w:eastAsia="Calibri" w:cstheme="minorHAnsi"/>
          <w:bCs/>
          <w:i/>
          <w:iCs/>
        </w:rPr>
        <w:t>Where reference is made to candidates, this includes any private candidates accepted by the centre</w:t>
      </w:r>
    </w:p>
    <w:p w14:paraId="3172FBED" w14:textId="6C97FEA2" w:rsidR="00FD7168" w:rsidRPr="009E0E83" w:rsidRDefault="00536B50" w:rsidP="0034291B">
      <w:pPr>
        <w:spacing w:after="120" w:line="276" w:lineRule="auto"/>
        <w:rPr>
          <w:b/>
          <w:bCs/>
        </w:rPr>
      </w:pPr>
      <w:r w:rsidRPr="00AE0D92">
        <w:rPr>
          <w:b/>
          <w:bCs/>
        </w:rPr>
        <w:t>Declaration process</w:t>
      </w:r>
    </w:p>
    <w:p w14:paraId="77DB90C8" w14:textId="799F8928" w:rsidR="00DB1524" w:rsidRDefault="00C36A1B" w:rsidP="00BE2DA0">
      <w:pPr>
        <w:pStyle w:val="ListParagraph"/>
        <w:numPr>
          <w:ilvl w:val="0"/>
          <w:numId w:val="2"/>
        </w:numPr>
        <w:spacing w:after="120"/>
      </w:pPr>
      <w:r w:rsidRPr="00DB1524">
        <w:t>A Declaration</w:t>
      </w:r>
      <w:r w:rsidR="00536B50" w:rsidRPr="00DB1524">
        <w:rPr>
          <w:i/>
          <w:iCs/>
        </w:rPr>
        <w:t xml:space="preserve"> of</w:t>
      </w:r>
      <w:r w:rsidR="00862CBB" w:rsidRPr="00DB1524">
        <w:rPr>
          <w:i/>
          <w:iCs/>
        </w:rPr>
        <w:t xml:space="preserve"> Personal</w:t>
      </w:r>
      <w:r w:rsidR="00536B50" w:rsidRPr="00DB1524">
        <w:rPr>
          <w:i/>
          <w:iCs/>
        </w:rPr>
        <w:t xml:space="preserve"> </w:t>
      </w:r>
      <w:r w:rsidR="00FD7168" w:rsidRPr="00DB1524">
        <w:rPr>
          <w:i/>
          <w:iCs/>
        </w:rPr>
        <w:t>Interest</w:t>
      </w:r>
      <w:r w:rsidR="00536B50" w:rsidRPr="00DB1524">
        <w:rPr>
          <w:i/>
          <w:iCs/>
        </w:rPr>
        <w:t xml:space="preserve"> form</w:t>
      </w:r>
      <w:r w:rsidR="00536B50" w:rsidRPr="00DB1524">
        <w:t xml:space="preserve"> for Summer </w:t>
      </w:r>
      <w:r w:rsidR="002D1A17" w:rsidRPr="00C15318">
        <w:t>2023-2024</w:t>
      </w:r>
      <w:r w:rsidR="00DB1524" w:rsidRPr="00DB1524">
        <w:t xml:space="preserve"> </w:t>
      </w:r>
      <w:r w:rsidR="00536B50" w:rsidRPr="00DB1524">
        <w:t xml:space="preserve">will be sent </w:t>
      </w:r>
      <w:r w:rsidR="00AB4A6A" w:rsidRPr="00DB1524">
        <w:t xml:space="preserve">by </w:t>
      </w:r>
      <w:r w:rsidR="00CE24EF">
        <w:t>Rachael Norton</w:t>
      </w:r>
      <w:r w:rsidR="009E0E83" w:rsidRPr="00DB1524">
        <w:t xml:space="preserve"> – Deputy Head in charge of Exams via a Microsoft form</w:t>
      </w:r>
      <w:r w:rsidR="00AB4A6A" w:rsidRPr="00DB1524">
        <w:t xml:space="preserve"> </w:t>
      </w:r>
      <w:r w:rsidR="00536B50" w:rsidRPr="00DB1524">
        <w:t>to all centre staff</w:t>
      </w:r>
      <w:r w:rsidR="00DB1524">
        <w:t>.</w:t>
      </w:r>
    </w:p>
    <w:p w14:paraId="0B6CE671" w14:textId="515D0026" w:rsidR="00FD7168" w:rsidRPr="00DB1524" w:rsidRDefault="00FD7168" w:rsidP="00BE2DA0">
      <w:pPr>
        <w:pStyle w:val="ListParagraph"/>
        <w:numPr>
          <w:ilvl w:val="0"/>
          <w:numId w:val="2"/>
        </w:numPr>
        <w:spacing w:after="120"/>
      </w:pPr>
      <w:r w:rsidRPr="00DB1524">
        <w:t xml:space="preserve">Staff will be required to </w:t>
      </w:r>
    </w:p>
    <w:p w14:paraId="187DA4FA" w14:textId="77777777" w:rsidR="00FD7168" w:rsidRPr="00DB1524" w:rsidRDefault="00FD7168" w:rsidP="0034291B">
      <w:pPr>
        <w:pStyle w:val="ListParagraph"/>
        <w:numPr>
          <w:ilvl w:val="1"/>
          <w:numId w:val="2"/>
        </w:numPr>
        <w:spacing w:after="120"/>
      </w:pPr>
      <w:r w:rsidRPr="00DB1524">
        <w:t xml:space="preserve">confirm their understanding of what a </w:t>
      </w:r>
      <w:r w:rsidRPr="00DB1524">
        <w:rPr>
          <w:rFonts w:eastAsia="Times New Roman" w:cs="Times New Roman"/>
        </w:rPr>
        <w:t>personal interest in a candidate relates to</w:t>
      </w:r>
    </w:p>
    <w:p w14:paraId="2A3439E1" w14:textId="64641D6F" w:rsidR="00FD7168" w:rsidRPr="00DB1524" w:rsidRDefault="00FD7168" w:rsidP="0034291B">
      <w:pPr>
        <w:pStyle w:val="ListParagraph"/>
        <w:numPr>
          <w:ilvl w:val="1"/>
          <w:numId w:val="2"/>
        </w:numPr>
        <w:spacing w:after="120"/>
      </w:pPr>
      <w:r w:rsidRPr="00DB1524">
        <w:t>(</w:t>
      </w:r>
      <w:r w:rsidR="00C36A1B" w:rsidRPr="00DB1524">
        <w:t>Where</w:t>
      </w:r>
      <w:r w:rsidRPr="00DB1524">
        <w:t xml:space="preserve"> applicable) declare no personal interest in any </w:t>
      </w:r>
      <w:r w:rsidR="00C36A1B" w:rsidRPr="00DB1524">
        <w:t>candidate.</w:t>
      </w:r>
      <w:r w:rsidRPr="00DB1524">
        <w:t xml:space="preserve"> </w:t>
      </w:r>
    </w:p>
    <w:p w14:paraId="1A37F41E" w14:textId="12C59DB7" w:rsidR="00AE0D92" w:rsidRPr="00DB1524" w:rsidRDefault="00FD7168" w:rsidP="0034291B">
      <w:pPr>
        <w:pStyle w:val="ListParagraph"/>
        <w:numPr>
          <w:ilvl w:val="1"/>
          <w:numId w:val="2"/>
        </w:numPr>
        <w:spacing w:after="120"/>
      </w:pPr>
      <w:r w:rsidRPr="00DB1524">
        <w:t>(</w:t>
      </w:r>
      <w:r w:rsidR="00C36A1B" w:rsidRPr="00DB1524">
        <w:t>Where</w:t>
      </w:r>
      <w:r w:rsidRPr="00DB1524">
        <w:t xml:space="preserve"> applicable) declare </w:t>
      </w:r>
      <w:r w:rsidRPr="00DB1524">
        <w:rPr>
          <w:rFonts w:eastAsia="Times New Roman" w:cs="Times New Roman"/>
        </w:rPr>
        <w:t xml:space="preserve">a personal interest in a candidate and </w:t>
      </w:r>
      <w:r w:rsidR="00AB7022" w:rsidRPr="00DB1524">
        <w:rPr>
          <w:rFonts w:eastAsia="Times New Roman" w:cs="Times New Roman"/>
        </w:rPr>
        <w:t xml:space="preserve">identify </w:t>
      </w:r>
      <w:r w:rsidRPr="00DB1524">
        <w:rPr>
          <w:rFonts w:eastAsia="Times New Roman" w:cs="Times New Roman"/>
        </w:rPr>
        <w:t>their role</w:t>
      </w:r>
      <w:r w:rsidR="00AB7022" w:rsidRPr="00DB1524">
        <w:rPr>
          <w:rFonts w:eastAsia="Times New Roman" w:cs="Times New Roman"/>
        </w:rPr>
        <w:t>(s)</w:t>
      </w:r>
      <w:r w:rsidRPr="00DB1524">
        <w:rPr>
          <w:rFonts w:eastAsia="Times New Roman" w:cs="Times New Roman"/>
        </w:rPr>
        <w:t xml:space="preserve"> in the </w:t>
      </w:r>
      <w:r w:rsidR="00C36A1B" w:rsidRPr="00DB1524">
        <w:rPr>
          <w:rFonts w:eastAsia="Times New Roman" w:cs="Times New Roman"/>
        </w:rPr>
        <w:t>arrangements.</w:t>
      </w:r>
    </w:p>
    <w:p w14:paraId="0639FF1C" w14:textId="37BBC4CC" w:rsidR="00AB4A6A" w:rsidRPr="00DB1524" w:rsidRDefault="00AE0D92" w:rsidP="0034291B">
      <w:pPr>
        <w:pStyle w:val="ListParagraph"/>
        <w:numPr>
          <w:ilvl w:val="1"/>
          <w:numId w:val="2"/>
        </w:numPr>
        <w:spacing w:after="120"/>
      </w:pPr>
      <w:r w:rsidRPr="00DB1524">
        <w:rPr>
          <w:rFonts w:eastAsia="Calibri" w:cstheme="minorHAnsi"/>
        </w:rPr>
        <w:t xml:space="preserve">confirm awareness </w:t>
      </w:r>
      <w:r w:rsidR="00C36A1B" w:rsidRPr="00DB1524">
        <w:rPr>
          <w:rFonts w:eastAsia="Calibri" w:cstheme="minorHAnsi"/>
        </w:rPr>
        <w:t>of the</w:t>
      </w:r>
      <w:r w:rsidRPr="00DB1524">
        <w:rPr>
          <w:rFonts w:eastAsia="Calibri" w:cstheme="minorHAnsi"/>
        </w:rPr>
        <w:t xml:space="preserve"> need to maintain the </w:t>
      </w:r>
      <w:r w:rsidRPr="00DB1524">
        <w:t xml:space="preserve">confidentiality of the grades and endorsements determined by the </w:t>
      </w:r>
      <w:r w:rsidR="00C36A1B" w:rsidRPr="00DB1524">
        <w:t>centre.</w:t>
      </w:r>
    </w:p>
    <w:p w14:paraId="5095592D" w14:textId="583C415A" w:rsidR="00FD7168" w:rsidRPr="00DB1524" w:rsidRDefault="00AB4A6A" w:rsidP="0034291B">
      <w:pPr>
        <w:pStyle w:val="ListParagraph"/>
        <w:numPr>
          <w:ilvl w:val="1"/>
          <w:numId w:val="2"/>
        </w:numPr>
        <w:spacing w:after="120"/>
      </w:pPr>
      <w:r w:rsidRPr="00DB1524">
        <w:t xml:space="preserve">return the completed declaration </w:t>
      </w:r>
      <w:r w:rsidR="009E0E83" w:rsidRPr="00DB1524">
        <w:t>by a date specified and any outstanding will be followed up by the Exams Officer and Deputy Head</w:t>
      </w:r>
    </w:p>
    <w:p w14:paraId="712D26C3" w14:textId="1ABD1B42" w:rsidR="009F1F5C" w:rsidRPr="00DB1524" w:rsidRDefault="00AE0D92" w:rsidP="0034291B">
      <w:pPr>
        <w:pStyle w:val="Heading3"/>
        <w:spacing w:before="0" w:beforeAutospacing="0" w:after="120" w:afterAutospacing="0" w:line="276" w:lineRule="auto"/>
        <w:rPr>
          <w:rFonts w:ascii="Rockwell" w:hAnsi="Rockwell"/>
          <w:sz w:val="22"/>
          <w:szCs w:val="22"/>
        </w:rPr>
      </w:pPr>
      <w:r w:rsidRPr="00DB1524">
        <w:rPr>
          <w:rFonts w:ascii="Rockwell" w:hAnsi="Rockwell"/>
          <w:sz w:val="22"/>
          <w:szCs w:val="22"/>
        </w:rPr>
        <w:t>Managing conflicts of interest</w:t>
      </w:r>
    </w:p>
    <w:p w14:paraId="26B2BEBB" w14:textId="50A90042" w:rsidR="0061217B" w:rsidRPr="00DB1524" w:rsidRDefault="00C36A1B" w:rsidP="0034291B">
      <w:pPr>
        <w:pStyle w:val="ListParagraph"/>
        <w:numPr>
          <w:ilvl w:val="0"/>
          <w:numId w:val="2"/>
        </w:numPr>
        <w:spacing w:after="120"/>
      </w:pPr>
      <w:r w:rsidRPr="00C15318">
        <w:t>A Conflicts</w:t>
      </w:r>
      <w:r w:rsidR="0061217B" w:rsidRPr="00C15318">
        <w:rPr>
          <w:i/>
          <w:iCs/>
        </w:rPr>
        <w:t xml:space="preserve"> of Interest log</w:t>
      </w:r>
      <w:r w:rsidR="0061217B" w:rsidRPr="00C15318">
        <w:t xml:space="preserve"> for Summer </w:t>
      </w:r>
      <w:r w:rsidR="002D1A17" w:rsidRPr="00C15318">
        <w:t>2023-2024</w:t>
      </w:r>
      <w:r w:rsidR="00086C73" w:rsidRPr="00DB1524">
        <w:t xml:space="preserve"> </w:t>
      </w:r>
      <w:r w:rsidR="0061217B" w:rsidRPr="00DB1524">
        <w:t xml:space="preserve">will be maintained to record any potential conflicts of interest declared by centre </w:t>
      </w:r>
      <w:r w:rsidR="0034291B" w:rsidRPr="00DB1524">
        <w:t>staff</w:t>
      </w:r>
      <w:r w:rsidR="008B635F" w:rsidRPr="00DB1524">
        <w:t xml:space="preserve"> using the form within this policy and kept electronically.</w:t>
      </w:r>
    </w:p>
    <w:p w14:paraId="68B94313" w14:textId="4C974D91" w:rsidR="0034291B" w:rsidRPr="00DB1524" w:rsidRDefault="0061217B" w:rsidP="0034291B">
      <w:pPr>
        <w:pStyle w:val="ListParagraph"/>
        <w:numPr>
          <w:ilvl w:val="0"/>
          <w:numId w:val="2"/>
        </w:numPr>
        <w:spacing w:after="120"/>
      </w:pPr>
      <w:r w:rsidRPr="00DB1524">
        <w:t xml:space="preserve">The log will record </w:t>
      </w:r>
      <w:r w:rsidRPr="00DB1524">
        <w:rPr>
          <w:rFonts w:cs="Arial"/>
          <w:bCs/>
        </w:rPr>
        <w:t>the nature of potential conflict and a decision by (</w:t>
      </w:r>
      <w:r w:rsidR="00152874" w:rsidRPr="00DB1524">
        <w:rPr>
          <w:rFonts w:cs="Arial"/>
          <w:bCs/>
        </w:rPr>
        <w:t xml:space="preserve">the </w:t>
      </w:r>
      <w:r w:rsidR="00086C73" w:rsidRPr="00DB1524">
        <w:rPr>
          <w:rFonts w:cs="Arial"/>
          <w:bCs/>
        </w:rPr>
        <w:t>Deputy Head, LM to Exams</w:t>
      </w:r>
      <w:r w:rsidRPr="00DB1524">
        <w:rPr>
          <w:rFonts w:cs="Arial"/>
          <w:bCs/>
        </w:rPr>
        <w:t xml:space="preserve">), if this </w:t>
      </w:r>
      <w:r w:rsidR="00A60BD2" w:rsidRPr="00DB1524">
        <w:rPr>
          <w:rFonts w:cs="Arial"/>
          <w:bCs/>
        </w:rPr>
        <w:t xml:space="preserve">is </w:t>
      </w:r>
      <w:r w:rsidRPr="00DB1524">
        <w:rPr>
          <w:rFonts w:cs="Arial"/>
          <w:bCs/>
        </w:rPr>
        <w:t>deemed a potential risk to the integrity of the centre’s assessments</w:t>
      </w:r>
      <w:r w:rsidR="00451C78">
        <w:rPr>
          <w:rFonts w:cs="Arial"/>
          <w:bCs/>
        </w:rPr>
        <w:t>.</w:t>
      </w:r>
    </w:p>
    <w:p w14:paraId="555F0F89" w14:textId="6F8C25CC" w:rsidR="0012513A" w:rsidRPr="00DB1524" w:rsidRDefault="0012513A" w:rsidP="00AB4A6A">
      <w:pPr>
        <w:pStyle w:val="ListParagraph"/>
        <w:numPr>
          <w:ilvl w:val="0"/>
          <w:numId w:val="2"/>
        </w:numPr>
        <w:spacing w:after="120"/>
      </w:pPr>
      <w:r w:rsidRPr="00DB1524">
        <w:t>(</w:t>
      </w:r>
      <w:r w:rsidR="00C36A1B" w:rsidRPr="00DB1524">
        <w:t>Where</w:t>
      </w:r>
      <w:r w:rsidRPr="00DB1524">
        <w:t xml:space="preserve"> applicable) </w:t>
      </w:r>
      <w:r w:rsidRPr="00DB1524">
        <w:rPr>
          <w:rFonts w:cs="Arial"/>
        </w:rPr>
        <w:t xml:space="preserve">The log will record </w:t>
      </w:r>
      <w:r w:rsidR="0034291B" w:rsidRPr="00DB1524">
        <w:rPr>
          <w:rFonts w:cs="Arial"/>
        </w:rPr>
        <w:t>appropriate</w:t>
      </w:r>
      <w:r w:rsidRPr="00DB1524">
        <w:rPr>
          <w:rFonts w:cs="Arial"/>
        </w:rPr>
        <w:t xml:space="preserve"> additional controls put in place to mitigate any potential risk to the integrity of the centre’s </w:t>
      </w:r>
      <w:r w:rsidR="00DB1524" w:rsidRPr="00DB1524">
        <w:rPr>
          <w:rFonts w:cs="Arial"/>
        </w:rPr>
        <w:t>assessments and</w:t>
      </w:r>
      <w:r w:rsidRPr="00DB1524">
        <w:rPr>
          <w:rFonts w:cs="Arial"/>
        </w:rPr>
        <w:t xml:space="preserve"> </w:t>
      </w:r>
      <w:r w:rsidRPr="00DB1524">
        <w:rPr>
          <w:rFonts w:eastAsia="Calibri" w:cs="Calibri"/>
        </w:rPr>
        <w:t>to ensure fairness in later process reviews and appeals,</w:t>
      </w:r>
      <w:r w:rsidRPr="00DB1524">
        <w:rPr>
          <w:rFonts w:cs="Arial"/>
        </w:rPr>
        <w:t xml:space="preserve"> </w:t>
      </w:r>
      <w:r w:rsidRPr="00DB1524">
        <w:rPr>
          <w:rFonts w:eastAsia="Calibri" w:cs="Calibri"/>
        </w:rPr>
        <w:t>carefully considering the need if to separate duties and personnel]</w:t>
      </w:r>
    </w:p>
    <w:p w14:paraId="77504F0D" w14:textId="16665E00" w:rsidR="0061217B" w:rsidRPr="00AB4A6A" w:rsidRDefault="002A3262" w:rsidP="00AB4A6A">
      <w:pPr>
        <w:spacing w:after="120" w:line="276" w:lineRule="auto"/>
      </w:pPr>
      <w:r w:rsidRPr="00AB4A6A">
        <w:t>Indi</w:t>
      </w:r>
      <w:r w:rsidR="00AB4A6A" w:rsidRPr="00AB4A6A">
        <w:t>vidual</w:t>
      </w:r>
      <w:r w:rsidRPr="00AB4A6A">
        <w:t xml:space="preserve"> awarding body instruction/guidance will be followed if there is any change </w:t>
      </w:r>
      <w:r w:rsidR="001F7DCD">
        <w:t xml:space="preserve">(for summer </w:t>
      </w:r>
      <w:r w:rsidR="002D1A17" w:rsidRPr="00C15318">
        <w:t>2023-2024</w:t>
      </w:r>
      <w:r w:rsidR="001F7DCD" w:rsidRPr="00C15318">
        <w:t>)</w:t>
      </w:r>
      <w:r w:rsidR="001F7DCD">
        <w:t xml:space="preserve"> </w:t>
      </w:r>
      <w:r w:rsidRPr="00AB4A6A">
        <w:t xml:space="preserve">to their normal procedures for </w:t>
      </w:r>
      <w:r w:rsidR="00AB4A6A" w:rsidRPr="00AB4A6A">
        <w:t xml:space="preserve">informing of </w:t>
      </w:r>
      <w:r w:rsidRPr="00AB4A6A">
        <w:t>conflicts</w:t>
      </w:r>
      <w:r w:rsidR="00AB4A6A" w:rsidRPr="00AB4A6A">
        <w:t xml:space="preserve"> </w:t>
      </w:r>
      <w:r w:rsidRPr="00AB4A6A">
        <w:t>of interest</w:t>
      </w:r>
      <w:r w:rsidR="00AB4A6A" w:rsidRPr="00AB4A6A">
        <w:t>.</w:t>
      </w:r>
    </w:p>
    <w:p w14:paraId="5746A44C" w14:textId="77777777" w:rsidR="00E9472E" w:rsidRDefault="00E9472E">
      <w:pPr>
        <w:rPr>
          <w:rFonts w:eastAsia="Times New Roman" w:cs="Times New Roman"/>
          <w:b/>
          <w:color w:val="003399"/>
          <w:sz w:val="24"/>
          <w:lang w:eastAsia="en-GB"/>
        </w:rPr>
      </w:pPr>
      <w:r>
        <w:br w:type="page"/>
      </w:r>
    </w:p>
    <w:p w14:paraId="47B41BE3" w14:textId="0F9733C0" w:rsidR="00DF1A44" w:rsidRPr="007D099F" w:rsidRDefault="00096806" w:rsidP="007D099F">
      <w:pPr>
        <w:pStyle w:val="Headinglevel1"/>
        <w:rPr>
          <w:szCs w:val="24"/>
        </w:rPr>
      </w:pPr>
      <w:r w:rsidRPr="006D1536">
        <w:rPr>
          <w:szCs w:val="24"/>
        </w:rPr>
        <w:lastRenderedPageBreak/>
        <w:t xml:space="preserve">Declaration of </w:t>
      </w:r>
      <w:r w:rsidR="0034291B">
        <w:rPr>
          <w:szCs w:val="24"/>
        </w:rPr>
        <w:t>Personal Interest</w:t>
      </w:r>
      <w:r w:rsidRPr="006D1536">
        <w:rPr>
          <w:szCs w:val="24"/>
        </w:rPr>
        <w:t xml:space="preserve"> </w:t>
      </w:r>
      <w:r w:rsidRPr="0034291B">
        <w:rPr>
          <w:szCs w:val="24"/>
        </w:rPr>
        <w:t>form</w:t>
      </w:r>
      <w:r w:rsidRPr="006D1536">
        <w:rPr>
          <w:szCs w:val="24"/>
        </w:rPr>
        <w:t xml:space="preserve"> </w:t>
      </w:r>
      <w:r>
        <w:rPr>
          <w:szCs w:val="24"/>
        </w:rPr>
        <w:t xml:space="preserve">– Summer </w:t>
      </w:r>
      <w:r w:rsidR="002D1A17">
        <w:rPr>
          <w:szCs w:val="24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4102"/>
        <w:gridCol w:w="1419"/>
        <w:gridCol w:w="3644"/>
      </w:tblGrid>
      <w:tr w:rsidR="00DF1A44" w:rsidRPr="00145D8A" w14:paraId="353B2114" w14:textId="77777777" w:rsidTr="00E47273">
        <w:tc>
          <w:tcPr>
            <w:tcW w:w="1137" w:type="dxa"/>
            <w:shd w:val="clear" w:color="auto" w:fill="D9E2F3" w:themeFill="accent1" w:themeFillTint="33"/>
            <w:vAlign w:val="center"/>
          </w:tcPr>
          <w:p w14:paraId="13CE60F7" w14:textId="77777777" w:rsidR="00DF1A44" w:rsidRPr="00145D8A" w:rsidRDefault="00DF1A44" w:rsidP="007D099F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 w:rsidRPr="00145D8A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Your name</w:t>
            </w:r>
          </w:p>
        </w:tc>
        <w:tc>
          <w:tcPr>
            <w:tcW w:w="4102" w:type="dxa"/>
            <w:vAlign w:val="center"/>
          </w:tcPr>
          <w:p w14:paraId="6F6A9F98" w14:textId="77777777" w:rsidR="00DF1A44" w:rsidRPr="00145D8A" w:rsidRDefault="00DF1A44" w:rsidP="007D099F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E2F3" w:themeFill="accent1" w:themeFillTint="33"/>
            <w:vAlign w:val="center"/>
          </w:tcPr>
          <w:p w14:paraId="68798F70" w14:textId="4194E77D" w:rsidR="00DF1A44" w:rsidRPr="00145D8A" w:rsidRDefault="00DF1A44" w:rsidP="007D099F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 w:rsidRPr="00145D8A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 xml:space="preserve">Your job </w:t>
            </w:r>
            <w:r w:rsidR="00AE107B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role</w:t>
            </w:r>
            <w:r w:rsidRPr="00145D8A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(s)</w:t>
            </w:r>
          </w:p>
        </w:tc>
        <w:tc>
          <w:tcPr>
            <w:tcW w:w="3644" w:type="dxa"/>
            <w:vAlign w:val="center"/>
          </w:tcPr>
          <w:p w14:paraId="577B6E16" w14:textId="77777777" w:rsidR="00DF1A44" w:rsidRPr="00145D8A" w:rsidRDefault="00DF1A44" w:rsidP="007D099F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2D3000D1" w14:textId="77656D20" w:rsidR="00EF2CA6" w:rsidRPr="00D13FFA" w:rsidRDefault="00EF2CA6" w:rsidP="00EF2CA6">
      <w:pPr>
        <w:pStyle w:val="Headinglevel1"/>
        <w:spacing w:before="120" w:after="120" w:line="276" w:lineRule="auto"/>
        <w:jc w:val="both"/>
        <w:rPr>
          <w:rFonts w:cs="Arial"/>
          <w:b w:val="0"/>
          <w:color w:val="FF3300"/>
          <w:sz w:val="22"/>
          <w:szCs w:val="22"/>
        </w:rPr>
      </w:pPr>
      <w:r w:rsidRPr="00870973">
        <w:rPr>
          <w:rFonts w:cs="Arial"/>
          <w:b w:val="0"/>
          <w:color w:val="auto"/>
          <w:sz w:val="22"/>
          <w:szCs w:val="22"/>
        </w:rPr>
        <w:t xml:space="preserve">This form </w:t>
      </w:r>
      <w:r w:rsidR="00644B9E">
        <w:rPr>
          <w:rFonts w:cs="Arial"/>
          <w:b w:val="0"/>
          <w:color w:val="auto"/>
          <w:sz w:val="22"/>
          <w:szCs w:val="22"/>
        </w:rPr>
        <w:t xml:space="preserve">will be sent electronically using a Microsoft form and </w:t>
      </w:r>
      <w:r w:rsidRPr="00870973">
        <w:rPr>
          <w:rFonts w:cs="Arial"/>
          <w:b w:val="0"/>
          <w:color w:val="auto"/>
          <w:sz w:val="22"/>
          <w:szCs w:val="22"/>
        </w:rPr>
        <w:t xml:space="preserve">must be </w:t>
      </w:r>
      <w:r w:rsidR="00644B9E">
        <w:rPr>
          <w:rFonts w:cs="Arial"/>
          <w:b w:val="0"/>
          <w:color w:val="auto"/>
          <w:sz w:val="22"/>
          <w:szCs w:val="22"/>
        </w:rPr>
        <w:t>completed</w:t>
      </w:r>
      <w:r w:rsidRPr="00870973">
        <w:rPr>
          <w:rFonts w:cs="Arial"/>
          <w:b w:val="0"/>
          <w:color w:val="auto"/>
          <w:sz w:val="22"/>
          <w:szCs w:val="22"/>
        </w:rPr>
        <w:t xml:space="preserve"> by </w:t>
      </w:r>
      <w:r w:rsidR="002D1A17">
        <w:rPr>
          <w:rFonts w:cs="Arial"/>
          <w:b w:val="0"/>
          <w:color w:val="auto"/>
          <w:sz w:val="22"/>
          <w:szCs w:val="22"/>
        </w:rPr>
        <w:t xml:space="preserve">a </w:t>
      </w:r>
      <w:r w:rsidR="00DB1524" w:rsidRPr="002D1A17">
        <w:rPr>
          <w:rFonts w:cs="Arial"/>
          <w:b w:val="0"/>
          <w:color w:val="auto"/>
          <w:sz w:val="22"/>
          <w:szCs w:val="22"/>
        </w:rPr>
        <w:t>designated date</w:t>
      </w:r>
      <w:r w:rsidR="002D1A17">
        <w:rPr>
          <w:rFonts w:cs="Arial"/>
          <w:b w:val="0"/>
          <w:color w:val="auto"/>
          <w:sz w:val="22"/>
          <w:szCs w:val="22"/>
        </w:rPr>
        <w:t>.</w:t>
      </w:r>
    </w:p>
    <w:p w14:paraId="473BB7C5" w14:textId="11D00248" w:rsidR="00A4082F" w:rsidRPr="00A078EB" w:rsidRDefault="00A4082F" w:rsidP="00A4082F">
      <w:pPr>
        <w:pStyle w:val="NormalWeb"/>
        <w:spacing w:before="0" w:beforeAutospacing="0" w:after="120" w:afterAutospacing="0"/>
        <w:rPr>
          <w:rFonts w:ascii="Rockwell" w:hAnsi="Rockwell" w:cs="Tahoma"/>
          <w:sz w:val="16"/>
          <w:szCs w:val="16"/>
        </w:rPr>
      </w:pPr>
      <w:r w:rsidRPr="00A4082F">
        <w:rPr>
          <w:rFonts w:ascii="Rockwell" w:hAnsi="Rockwell" w:cs="Arial"/>
          <w:szCs w:val="22"/>
        </w:rPr>
        <w:t>C</w:t>
      </w:r>
      <w:r w:rsidR="00A5691D" w:rsidRPr="00A4082F">
        <w:rPr>
          <w:rFonts w:ascii="Rockwell" w:hAnsi="Rockwell" w:cs="Arial"/>
          <w:szCs w:val="22"/>
        </w:rPr>
        <w:t>onfirm your understanding:</w:t>
      </w:r>
      <w:r w:rsidRPr="00A4082F">
        <w:rPr>
          <w:rFonts w:ascii="Verdana" w:hAnsi="Verdana"/>
          <w:sz w:val="16"/>
          <w:szCs w:val="16"/>
        </w:rPr>
        <w:t xml:space="preserve"> </w:t>
      </w:r>
      <w:r w:rsidR="00A078EB" w:rsidRPr="00EF46BA">
        <w:rPr>
          <w:rFonts w:ascii="Verdana" w:hAnsi="Verdana"/>
          <w:sz w:val="16"/>
          <w:szCs w:val="16"/>
        </w:rPr>
        <w:t xml:space="preserve">(Please tick </w:t>
      </w:r>
      <w:r w:rsidR="00A078EB">
        <w:rPr>
          <w:rFonts w:ascii="Verdana" w:hAnsi="Verdana"/>
          <w:sz w:val="16"/>
          <w:szCs w:val="16"/>
        </w:rPr>
        <w:t xml:space="preserve">the </w:t>
      </w:r>
      <w:r w:rsidR="00A078EB" w:rsidRPr="00EF46BA">
        <w:rPr>
          <w:rFonts w:ascii="Verdana" w:hAnsi="Verdana"/>
          <w:sz w:val="16"/>
          <w:szCs w:val="16"/>
        </w:rPr>
        <w:t xml:space="preserve">box to confirm </w:t>
      </w:r>
      <w:r w:rsidR="00A078EB">
        <w:rPr>
          <w:rFonts w:ascii="Verdana" w:hAnsi="Verdana"/>
          <w:sz w:val="16"/>
          <w:szCs w:val="16"/>
        </w:rPr>
        <w:t>a</w:t>
      </w:r>
      <w:r w:rsidR="00A078EB" w:rsidRPr="00EF46BA">
        <w:rPr>
          <w:rFonts w:ascii="Verdana" w:hAnsi="Verdana"/>
          <w:sz w:val="16"/>
          <w:szCs w:val="16"/>
        </w:rPr>
        <w:t xml:space="preserve"> statement)</w:t>
      </w:r>
      <w:r w:rsidR="00A078EB" w:rsidRPr="00EF46BA">
        <w:rPr>
          <w:sz w:val="16"/>
          <w:szCs w:val="16"/>
        </w:rPr>
        <w:t xml:space="preserve">    </w:t>
      </w:r>
    </w:p>
    <w:p w14:paraId="00D60F51" w14:textId="451045B7" w:rsidR="00940E17" w:rsidRDefault="004A41FA" w:rsidP="00940E17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="Rockwell" w:hAnsi="Rockwell"/>
          <w:sz w:val="20"/>
          <w:szCs w:val="20"/>
        </w:rPr>
      </w:pPr>
      <w:r w:rsidRPr="00A5691D">
        <w:rPr>
          <w:rFonts w:ascii="Rockwell" w:hAnsi="Rockwell"/>
          <w:sz w:val="20"/>
          <w:szCs w:val="20"/>
        </w:rPr>
        <w:t xml:space="preserve">I understand that a personal interest relates to a candidate who is a member </w:t>
      </w:r>
      <w:r w:rsidR="00C47D98" w:rsidRPr="00A5691D">
        <w:rPr>
          <w:rFonts w:ascii="Rockwell" w:hAnsi="Rockwell"/>
          <w:sz w:val="20"/>
          <w:szCs w:val="20"/>
        </w:rPr>
        <w:t xml:space="preserve">of my family (which includes </w:t>
      </w:r>
      <w:r w:rsidR="00C36A1B" w:rsidRPr="00A5691D">
        <w:rPr>
          <w:rFonts w:ascii="Rockwell" w:hAnsi="Rockwell"/>
          <w:sz w:val="20"/>
          <w:szCs w:val="20"/>
        </w:rPr>
        <w:t>stepfamily</w:t>
      </w:r>
      <w:r w:rsidR="00C47D98" w:rsidRPr="00A5691D">
        <w:rPr>
          <w:rFonts w:ascii="Rockwell" w:hAnsi="Rockwell"/>
          <w:sz w:val="20"/>
          <w:szCs w:val="20"/>
        </w:rPr>
        <w:t xml:space="preserve">, foster </w:t>
      </w:r>
      <w:r w:rsidR="00975071" w:rsidRPr="00A5691D">
        <w:rPr>
          <w:rFonts w:ascii="Rockwell" w:hAnsi="Rockwell"/>
          <w:sz w:val="20"/>
          <w:szCs w:val="20"/>
        </w:rPr>
        <w:t>family,</w:t>
      </w:r>
      <w:r w:rsidR="00C47D98" w:rsidRPr="00A5691D">
        <w:rPr>
          <w:rFonts w:ascii="Rockwell" w:hAnsi="Rockwell"/>
          <w:sz w:val="20"/>
          <w:szCs w:val="20"/>
        </w:rPr>
        <w:t xml:space="preserve"> and similar close relationships) or close friends and their immediate family (</w:t>
      </w:r>
      <w:r w:rsidR="00975071" w:rsidRPr="00A5691D">
        <w:rPr>
          <w:rFonts w:ascii="Rockwell" w:hAnsi="Rockwell"/>
          <w:sz w:val="20"/>
          <w:szCs w:val="20"/>
        </w:rPr>
        <w:t>e.g.,</w:t>
      </w:r>
      <w:r w:rsidR="00C47D98" w:rsidRPr="00A5691D">
        <w:rPr>
          <w:rFonts w:ascii="Rockwell" w:hAnsi="Rockwell"/>
          <w:sz w:val="20"/>
          <w:szCs w:val="20"/>
        </w:rPr>
        <w:t xml:space="preserve"> son/daughter) </w:t>
      </w:r>
    </w:p>
    <w:p w14:paraId="3727B392" w14:textId="00D47B54" w:rsidR="00A5691D" w:rsidRPr="00A078EB" w:rsidRDefault="00A5691D" w:rsidP="00A078EB">
      <w:pPr>
        <w:pStyle w:val="NormalWeb"/>
        <w:spacing w:before="120" w:beforeAutospacing="0" w:after="120" w:afterAutospacing="0"/>
        <w:rPr>
          <w:rFonts w:ascii="Rockwell" w:hAnsi="Rockwell" w:cs="Tahoma"/>
          <w:sz w:val="16"/>
          <w:szCs w:val="16"/>
        </w:rPr>
      </w:pPr>
      <w:r w:rsidRPr="00A078EB">
        <w:rPr>
          <w:rFonts w:ascii="Rockwell" w:hAnsi="Rockwell" w:cs="Arial"/>
          <w:szCs w:val="22"/>
        </w:rPr>
        <w:t xml:space="preserve">You </w:t>
      </w:r>
      <w:r w:rsidRPr="00A078EB">
        <w:rPr>
          <w:rFonts w:ascii="Rockwell" w:hAnsi="Rockwell" w:cs="Arial"/>
          <w:bCs/>
          <w:szCs w:val="22"/>
        </w:rPr>
        <w:t xml:space="preserve">must </w:t>
      </w:r>
      <w:r w:rsidRPr="00A078EB">
        <w:rPr>
          <w:rFonts w:ascii="Rockwell" w:hAnsi="Rockwell" w:cs="Arial"/>
          <w:szCs w:val="22"/>
        </w:rPr>
        <w:t xml:space="preserve">declare </w:t>
      </w:r>
      <w:r w:rsidR="00EF2CA6" w:rsidRPr="00A078EB">
        <w:rPr>
          <w:rFonts w:ascii="Rockwell" w:hAnsi="Rockwell" w:cs="Arial"/>
          <w:szCs w:val="22"/>
        </w:rPr>
        <w:t>all</w:t>
      </w:r>
      <w:r w:rsidRPr="00A078EB">
        <w:rPr>
          <w:rFonts w:ascii="Rockwell" w:hAnsi="Rockwell" w:cs="Arial"/>
          <w:szCs w:val="22"/>
        </w:rPr>
        <w:t xml:space="preserve"> statements that apply to you:</w:t>
      </w:r>
      <w:r w:rsidR="00A078EB">
        <w:rPr>
          <w:rFonts w:cs="Arial"/>
          <w:b/>
          <w:szCs w:val="22"/>
        </w:rPr>
        <w:t xml:space="preserve"> </w:t>
      </w:r>
      <w:r w:rsidR="00A078EB" w:rsidRPr="00EF46BA">
        <w:rPr>
          <w:rFonts w:ascii="Verdana" w:hAnsi="Verdana"/>
          <w:sz w:val="16"/>
          <w:szCs w:val="16"/>
        </w:rPr>
        <w:t xml:space="preserve">(Please tick </w:t>
      </w:r>
      <w:r w:rsidR="00A078EB">
        <w:rPr>
          <w:rFonts w:ascii="Verdana" w:hAnsi="Verdana"/>
          <w:sz w:val="16"/>
          <w:szCs w:val="16"/>
        </w:rPr>
        <w:t xml:space="preserve">the </w:t>
      </w:r>
      <w:r w:rsidR="00A078EB" w:rsidRPr="00EF46BA">
        <w:rPr>
          <w:rFonts w:ascii="Verdana" w:hAnsi="Verdana"/>
          <w:sz w:val="16"/>
          <w:szCs w:val="16"/>
        </w:rPr>
        <w:t xml:space="preserve">box to confirm </w:t>
      </w:r>
      <w:r w:rsidR="00A078EB">
        <w:rPr>
          <w:rFonts w:ascii="Verdana" w:hAnsi="Verdana"/>
          <w:sz w:val="16"/>
          <w:szCs w:val="16"/>
        </w:rPr>
        <w:t>a</w:t>
      </w:r>
      <w:r w:rsidR="00A078EB" w:rsidRPr="00EF46BA">
        <w:rPr>
          <w:rFonts w:ascii="Verdana" w:hAnsi="Verdana"/>
          <w:sz w:val="16"/>
          <w:szCs w:val="16"/>
        </w:rPr>
        <w:t xml:space="preserve"> statement)</w:t>
      </w:r>
      <w:r w:rsidR="00A078EB" w:rsidRPr="00EF46BA">
        <w:rPr>
          <w:sz w:val="16"/>
          <w:szCs w:val="16"/>
        </w:rPr>
        <w:t xml:space="preserve">    </w:t>
      </w:r>
    </w:p>
    <w:p w14:paraId="3283722F" w14:textId="68BB5318" w:rsidR="00887B5D" w:rsidRPr="0034291B" w:rsidRDefault="00E54B5E" w:rsidP="00A5691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I have no personal interest in a candidate to declare</w:t>
      </w:r>
    </w:p>
    <w:p w14:paraId="50A84D90" w14:textId="185B4D2E" w:rsidR="00887B5D" w:rsidRPr="0034291B" w:rsidRDefault="00887B5D" w:rsidP="00A5691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 xml:space="preserve">I declare a personal interest in a candidate who is part of a class or cohort for whom I will be: </w:t>
      </w:r>
    </w:p>
    <w:p w14:paraId="68E95F1C" w14:textId="44E63BEE" w:rsidR="00671E8F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D</w:t>
      </w:r>
      <w:r w:rsidR="00C47D98" w:rsidRPr="0034291B">
        <w:rPr>
          <w:rFonts w:ascii="Rockwell" w:hAnsi="Rockwell"/>
          <w:sz w:val="20"/>
          <w:szCs w:val="20"/>
        </w:rPr>
        <w:t>etermining teacher assessed grades</w:t>
      </w:r>
      <w:r w:rsidR="00F6426A" w:rsidRPr="0034291B">
        <w:rPr>
          <w:rFonts w:ascii="Rockwell" w:hAnsi="Rockwell"/>
          <w:sz w:val="20"/>
          <w:szCs w:val="20"/>
        </w:rPr>
        <w:t xml:space="preserve"> </w:t>
      </w:r>
      <w:r w:rsidR="00F6426A" w:rsidRPr="0034291B">
        <w:rPr>
          <w:rFonts w:ascii="Rockwell" w:hAnsi="Rockwell"/>
          <w:color w:val="0C0C0A"/>
          <w:sz w:val="20"/>
          <w:szCs w:val="20"/>
        </w:rPr>
        <w:t>including consideration of evidence and how that evidence informs these grades</w:t>
      </w:r>
      <w:r w:rsidR="009321C2" w:rsidRPr="0034291B">
        <w:rPr>
          <w:rFonts w:ascii="Rockwell" w:hAnsi="Rockwell"/>
          <w:color w:val="0C0C0A"/>
          <w:sz w:val="20"/>
          <w:szCs w:val="20"/>
        </w:rPr>
        <w:t xml:space="preserve"> in accordance with our Centre Policy</w:t>
      </w:r>
    </w:p>
    <w:p w14:paraId="7A79C68E" w14:textId="3D31A824" w:rsidR="00671E8F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color w:val="0C0C0A"/>
          <w:sz w:val="20"/>
          <w:szCs w:val="20"/>
        </w:rPr>
        <w:t>K</w:t>
      </w:r>
      <w:r w:rsidR="00671E8F" w:rsidRPr="0034291B">
        <w:rPr>
          <w:rFonts w:ascii="Rockwell" w:hAnsi="Rockwell"/>
          <w:color w:val="0C0C0A"/>
          <w:sz w:val="20"/>
          <w:szCs w:val="20"/>
        </w:rPr>
        <w:t xml:space="preserve">eeping records of any discussions with candidates around the evidence on which grades will be based </w:t>
      </w:r>
    </w:p>
    <w:p w14:paraId="78624723" w14:textId="7B34C059" w:rsidR="00671E8F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P</w:t>
      </w:r>
      <w:r w:rsidR="00671E8F" w:rsidRPr="0034291B">
        <w:rPr>
          <w:rFonts w:ascii="Rockwell" w:hAnsi="Rockwell"/>
          <w:sz w:val="20"/>
          <w:szCs w:val="20"/>
        </w:rPr>
        <w:t>roducing assessment records that explain the determination of the final teacher assessed grades</w:t>
      </w:r>
    </w:p>
    <w:p w14:paraId="236C9FC8" w14:textId="5CFEBB05" w:rsidR="00AB754D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S</w:t>
      </w:r>
      <w:r w:rsidR="00671E8F" w:rsidRPr="0034291B">
        <w:rPr>
          <w:rFonts w:ascii="Rockwell" w:hAnsi="Rockwell"/>
          <w:sz w:val="20"/>
          <w:szCs w:val="20"/>
        </w:rPr>
        <w:t>afely retaining copies of candidates’ work and any mark records</w:t>
      </w:r>
    </w:p>
    <w:p w14:paraId="44268E4C" w14:textId="6DABC631" w:rsidR="00AB754D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C</w:t>
      </w:r>
      <w:r w:rsidR="00AB754D" w:rsidRPr="0034291B">
        <w:rPr>
          <w:rFonts w:ascii="Rockwell" w:hAnsi="Rockwell"/>
          <w:sz w:val="20"/>
          <w:szCs w:val="20"/>
        </w:rPr>
        <w:t xml:space="preserve">ompleting a </w:t>
      </w:r>
      <w:r w:rsidR="00AB754D" w:rsidRPr="0034291B">
        <w:rPr>
          <w:rFonts w:ascii="Rockwell" w:hAnsi="Rockwell"/>
          <w:color w:val="0C0C0A"/>
          <w:sz w:val="20"/>
          <w:szCs w:val="20"/>
        </w:rPr>
        <w:t xml:space="preserve">Head of Department Checklist/declaration </w:t>
      </w:r>
      <w:r w:rsidR="00AB754D" w:rsidRPr="0034291B">
        <w:rPr>
          <w:rFonts w:ascii="Rockwell" w:eastAsia="Calibri" w:hAnsi="Rockwell"/>
          <w:sz w:val="20"/>
          <w:szCs w:val="20"/>
        </w:rPr>
        <w:t>before submitting subject outcomes for internal standardisation</w:t>
      </w:r>
    </w:p>
    <w:p w14:paraId="01AD5C5E" w14:textId="6F8A3AF2" w:rsidR="00AB754D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I</w:t>
      </w:r>
      <w:r w:rsidR="00C47D98" w:rsidRPr="0034291B">
        <w:rPr>
          <w:rFonts w:ascii="Rockwell" w:hAnsi="Rockwell"/>
          <w:sz w:val="20"/>
          <w:szCs w:val="20"/>
        </w:rPr>
        <w:t xml:space="preserve">nvolved in the internal quality assurance processes that are in place </w:t>
      </w:r>
    </w:p>
    <w:p w14:paraId="71EF5AA0" w14:textId="2F43B2DC" w:rsidR="00AB754D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C</w:t>
      </w:r>
      <w:r w:rsidR="00AB754D" w:rsidRPr="0034291B">
        <w:rPr>
          <w:rFonts w:ascii="Rockwell" w:hAnsi="Rockwell"/>
          <w:sz w:val="20"/>
          <w:szCs w:val="20"/>
        </w:rPr>
        <w:t xml:space="preserve">ollating grades for all classes/cohorts in </w:t>
      </w:r>
      <w:r w:rsidR="00887B5D" w:rsidRPr="0034291B">
        <w:rPr>
          <w:rFonts w:ascii="Rockwell" w:hAnsi="Rockwell"/>
          <w:sz w:val="20"/>
          <w:szCs w:val="20"/>
        </w:rPr>
        <w:t>preparation</w:t>
      </w:r>
      <w:r w:rsidR="00AB754D" w:rsidRPr="0034291B">
        <w:rPr>
          <w:rFonts w:ascii="Rockwell" w:hAnsi="Rockwell"/>
          <w:sz w:val="20"/>
          <w:szCs w:val="20"/>
        </w:rPr>
        <w:t xml:space="preserve"> for </w:t>
      </w:r>
      <w:r w:rsidR="00887B5D" w:rsidRPr="0034291B">
        <w:rPr>
          <w:rFonts w:ascii="Rockwell" w:hAnsi="Rockwell"/>
          <w:sz w:val="20"/>
          <w:szCs w:val="20"/>
        </w:rPr>
        <w:t>submission</w:t>
      </w:r>
      <w:r w:rsidR="00AB754D" w:rsidRPr="0034291B">
        <w:rPr>
          <w:rFonts w:ascii="Rockwell" w:hAnsi="Rockwell"/>
          <w:sz w:val="20"/>
          <w:szCs w:val="20"/>
        </w:rPr>
        <w:t xml:space="preserve"> to the awarding body/bodies</w:t>
      </w:r>
    </w:p>
    <w:p w14:paraId="4C21A747" w14:textId="74DCF8D2" w:rsidR="00AB754D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I</w:t>
      </w:r>
      <w:r w:rsidR="00AB754D" w:rsidRPr="0034291B">
        <w:rPr>
          <w:rFonts w:ascii="Rockwell" w:hAnsi="Rockwell"/>
          <w:sz w:val="20"/>
          <w:szCs w:val="20"/>
        </w:rPr>
        <w:t xml:space="preserve">nputting grades through the awarding body/bodies grade </w:t>
      </w:r>
      <w:r w:rsidR="00C36A1B" w:rsidRPr="0034291B">
        <w:rPr>
          <w:rFonts w:ascii="Rockwell" w:hAnsi="Rockwell"/>
          <w:sz w:val="20"/>
          <w:szCs w:val="20"/>
        </w:rPr>
        <w:t>submission system</w:t>
      </w:r>
      <w:r w:rsidR="00E35CFE" w:rsidRPr="0034291B">
        <w:rPr>
          <w:rFonts w:ascii="Rockwell" w:hAnsi="Rockwell"/>
          <w:sz w:val="20"/>
          <w:szCs w:val="20"/>
        </w:rPr>
        <w:t>/systems</w:t>
      </w:r>
    </w:p>
    <w:p w14:paraId="526652DC" w14:textId="56271741" w:rsidR="00AB754D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color w:val="0C0C0A"/>
          <w:sz w:val="20"/>
          <w:szCs w:val="20"/>
        </w:rPr>
        <w:t>C</w:t>
      </w:r>
      <w:r w:rsidR="00AB754D" w:rsidRPr="0034291B">
        <w:rPr>
          <w:rFonts w:ascii="Rockwell" w:hAnsi="Rockwell"/>
          <w:color w:val="0C0C0A"/>
          <w:sz w:val="20"/>
          <w:szCs w:val="20"/>
        </w:rPr>
        <w:t>ompleting the Head of Centre declaration</w:t>
      </w:r>
      <w:r w:rsidR="001F7DCD">
        <w:rPr>
          <w:rFonts w:ascii="Rockwell" w:hAnsi="Rockwell"/>
          <w:color w:val="0C0C0A"/>
          <w:sz w:val="20"/>
          <w:szCs w:val="20"/>
        </w:rPr>
        <w:t>(s)</w:t>
      </w:r>
      <w:r w:rsidR="00AB754D" w:rsidRPr="0034291B">
        <w:rPr>
          <w:rFonts w:ascii="Rockwell" w:hAnsi="Rockwell"/>
          <w:color w:val="0C0C0A"/>
          <w:sz w:val="20"/>
          <w:szCs w:val="20"/>
        </w:rPr>
        <w:t xml:space="preserve"> to finalise the submission of </w:t>
      </w:r>
      <w:r w:rsidR="00C36A1B" w:rsidRPr="0034291B">
        <w:rPr>
          <w:rFonts w:ascii="Rockwell" w:hAnsi="Rockwell"/>
          <w:color w:val="0C0C0A"/>
          <w:sz w:val="20"/>
          <w:szCs w:val="20"/>
        </w:rPr>
        <w:t>grades.</w:t>
      </w:r>
      <w:r w:rsidR="00AB754D" w:rsidRPr="0034291B">
        <w:rPr>
          <w:rFonts w:ascii="Rockwell" w:hAnsi="Rockwell"/>
          <w:color w:val="0C0C0A"/>
          <w:sz w:val="20"/>
          <w:szCs w:val="20"/>
        </w:rPr>
        <w:t xml:space="preserve"> </w:t>
      </w:r>
    </w:p>
    <w:p w14:paraId="56A6A720" w14:textId="2E79C6D3" w:rsidR="00AB754D" w:rsidRPr="0034291B" w:rsidRDefault="007D099F" w:rsidP="00A5691D">
      <w:pPr>
        <w:pStyle w:val="NormalWeb"/>
        <w:numPr>
          <w:ilvl w:val="1"/>
          <w:numId w:val="10"/>
        </w:numPr>
        <w:spacing w:before="0" w:beforeAutospacing="0" w:after="0" w:afterAutospacing="0" w:line="276" w:lineRule="auto"/>
        <w:rPr>
          <w:rFonts w:ascii="Rockwell" w:hAnsi="Rockwell"/>
          <w:sz w:val="20"/>
          <w:szCs w:val="20"/>
        </w:rPr>
      </w:pPr>
      <w:r w:rsidRPr="0034291B">
        <w:rPr>
          <w:rFonts w:ascii="Rockwell" w:hAnsi="Rockwell"/>
          <w:sz w:val="20"/>
          <w:szCs w:val="20"/>
        </w:rPr>
        <w:t>I</w:t>
      </w:r>
      <w:r w:rsidR="00E54B5E" w:rsidRPr="0034291B">
        <w:rPr>
          <w:rFonts w:ascii="Rockwell" w:hAnsi="Rockwell"/>
          <w:sz w:val="20"/>
          <w:szCs w:val="20"/>
        </w:rPr>
        <w:t xml:space="preserve">nvolved in </w:t>
      </w:r>
      <w:r w:rsidRPr="0034291B">
        <w:rPr>
          <w:rFonts w:ascii="Rockwell" w:hAnsi="Rockwell"/>
          <w:sz w:val="20"/>
          <w:szCs w:val="20"/>
        </w:rPr>
        <w:t>r</w:t>
      </w:r>
      <w:r w:rsidR="00E54B5E" w:rsidRPr="0034291B">
        <w:rPr>
          <w:rFonts w:ascii="Rockwell" w:hAnsi="Rockwell"/>
          <w:sz w:val="20"/>
          <w:szCs w:val="20"/>
        </w:rPr>
        <w:t xml:space="preserve">eviews of centre processes and the appeals </w:t>
      </w:r>
      <w:r w:rsidR="00975071" w:rsidRPr="0034291B">
        <w:rPr>
          <w:rFonts w:ascii="Rockwell" w:hAnsi="Rockwell"/>
          <w:sz w:val="20"/>
          <w:szCs w:val="20"/>
        </w:rPr>
        <w:t>process.</w:t>
      </w:r>
    </w:p>
    <w:p w14:paraId="4CA63F6B" w14:textId="788DC69C" w:rsidR="00DF1A44" w:rsidRPr="00A078EB" w:rsidRDefault="00644B9E" w:rsidP="00A5691D">
      <w:pPr>
        <w:tabs>
          <w:tab w:val="left" w:pos="4111"/>
        </w:tabs>
        <w:spacing w:before="120" w:after="120" w:line="259" w:lineRule="auto"/>
        <w:rPr>
          <w:rFonts w:ascii="Verdana" w:hAnsi="Verdana"/>
          <w:sz w:val="16"/>
          <w:szCs w:val="16"/>
        </w:rPr>
      </w:pPr>
      <w:r w:rsidRPr="00A078EB">
        <w:rPr>
          <w:rFonts w:ascii="Verdana" w:hAnsi="Verdana" w:cs="Arial"/>
          <w:sz w:val="16"/>
          <w:szCs w:val="16"/>
        </w:rPr>
        <w:t xml:space="preserve"> </w:t>
      </w:r>
      <w:r w:rsidR="00DF1A44" w:rsidRPr="00A078EB">
        <w:rPr>
          <w:rFonts w:ascii="Verdana" w:hAnsi="Verdana" w:cs="Arial"/>
          <w:sz w:val="16"/>
          <w:szCs w:val="16"/>
        </w:rPr>
        <w:t>(Where more than one related person, please complete a separate form)</w:t>
      </w:r>
    </w:p>
    <w:tbl>
      <w:tblPr>
        <w:tblStyle w:val="TableGrid"/>
        <w:tblW w:w="10235" w:type="dxa"/>
        <w:tblInd w:w="137" w:type="dxa"/>
        <w:tblLook w:val="04A0" w:firstRow="1" w:lastRow="0" w:firstColumn="1" w:lastColumn="0" w:noHBand="0" w:noVBand="1"/>
      </w:tblPr>
      <w:tblGrid>
        <w:gridCol w:w="1527"/>
        <w:gridCol w:w="1611"/>
        <w:gridCol w:w="1823"/>
        <w:gridCol w:w="1560"/>
        <w:gridCol w:w="3714"/>
      </w:tblGrid>
      <w:tr w:rsidR="00DF1A44" w:rsidRPr="00E60C85" w14:paraId="076749A1" w14:textId="77777777" w:rsidTr="00E47273">
        <w:tc>
          <w:tcPr>
            <w:tcW w:w="3138" w:type="dxa"/>
            <w:gridSpan w:val="2"/>
            <w:shd w:val="clear" w:color="auto" w:fill="D9E2F3" w:themeFill="accent1" w:themeFillTint="33"/>
          </w:tcPr>
          <w:p w14:paraId="20DBD6F2" w14:textId="77777777" w:rsidR="00DF1A44" w:rsidRPr="00D31950" w:rsidRDefault="00DF1A44" w:rsidP="00DF1A44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 w:rsidRPr="00D31950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Name of related person (the candidate)</w:t>
            </w:r>
          </w:p>
        </w:tc>
        <w:tc>
          <w:tcPr>
            <w:tcW w:w="7097" w:type="dxa"/>
            <w:gridSpan w:val="3"/>
          </w:tcPr>
          <w:p w14:paraId="2CD1CB0C" w14:textId="77777777" w:rsidR="00DF1A44" w:rsidRPr="00FA4C93" w:rsidRDefault="00DF1A44" w:rsidP="00DF1A44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FA4C93">
              <w:rPr>
                <w:rFonts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3165F8" w:rsidRPr="00E60C85" w14:paraId="4F0FEBA6" w14:textId="77777777" w:rsidTr="00E47273">
        <w:tc>
          <w:tcPr>
            <w:tcW w:w="3138" w:type="dxa"/>
            <w:gridSpan w:val="2"/>
            <w:shd w:val="clear" w:color="auto" w:fill="D9E2F3" w:themeFill="accent1" w:themeFillTint="33"/>
          </w:tcPr>
          <w:p w14:paraId="208056CB" w14:textId="77777777" w:rsidR="00DF1A44" w:rsidRPr="00D31950" w:rsidRDefault="00DF1A44" w:rsidP="00DF1A44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 w:rsidRPr="00D31950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Candidate number</w:t>
            </w:r>
          </w:p>
        </w:tc>
        <w:tc>
          <w:tcPr>
            <w:tcW w:w="1823" w:type="dxa"/>
          </w:tcPr>
          <w:p w14:paraId="768E7126" w14:textId="77777777" w:rsidR="00DF1A44" w:rsidRDefault="00DF1A44" w:rsidP="00DF1A44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Cs w:val="24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5197C2FA" w14:textId="77777777" w:rsidR="00DF1A44" w:rsidRPr="00D31950" w:rsidRDefault="00DF1A44" w:rsidP="00DF1A44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D31950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Relationship to me</w:t>
            </w:r>
          </w:p>
        </w:tc>
        <w:tc>
          <w:tcPr>
            <w:tcW w:w="3714" w:type="dxa"/>
          </w:tcPr>
          <w:p w14:paraId="461FDA8B" w14:textId="77777777" w:rsidR="00DF1A44" w:rsidRDefault="00DF1A44" w:rsidP="00DF1A44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Cs w:val="24"/>
              </w:rPr>
            </w:pPr>
          </w:p>
        </w:tc>
      </w:tr>
      <w:tr w:rsidR="003165F8" w:rsidRPr="00E60C85" w14:paraId="3C93437F" w14:textId="77777777" w:rsidTr="00A078EB">
        <w:trPr>
          <w:trHeight w:val="460"/>
        </w:trPr>
        <w:tc>
          <w:tcPr>
            <w:tcW w:w="1527" w:type="dxa"/>
            <w:vMerge w:val="restart"/>
            <w:shd w:val="clear" w:color="auto" w:fill="F2F2F2" w:themeFill="background1" w:themeFillShade="F2"/>
            <w:vAlign w:val="center"/>
          </w:tcPr>
          <w:p w14:paraId="30D02163" w14:textId="6C4BA921" w:rsidR="00DF1A44" w:rsidRPr="00D31950" w:rsidRDefault="00DF1A44" w:rsidP="00DF1A44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 w:rsidRPr="00D31950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 xml:space="preserve">Qualification(s) </w:t>
            </w:r>
            <w:r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details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3B9DA3E3" w14:textId="77777777" w:rsidR="00DF1A44" w:rsidRPr="00D31950" w:rsidRDefault="00DF1A44" w:rsidP="00DF1A44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 w:rsidRPr="00D31950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Awarding body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29A51BE6" w14:textId="657A45C8" w:rsidR="00DF1A44" w:rsidRPr="00D31950" w:rsidRDefault="00A078EB" w:rsidP="00DF1A44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Subject code</w:t>
            </w:r>
          </w:p>
        </w:tc>
        <w:tc>
          <w:tcPr>
            <w:tcW w:w="5274" w:type="dxa"/>
            <w:gridSpan w:val="2"/>
            <w:shd w:val="clear" w:color="auto" w:fill="F2F2F2" w:themeFill="background1" w:themeFillShade="F2"/>
          </w:tcPr>
          <w:p w14:paraId="3E2C17A1" w14:textId="29DAF839" w:rsidR="00DF1A44" w:rsidRPr="00D31950" w:rsidRDefault="00A078EB" w:rsidP="00DF1A44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Subject title</w:t>
            </w:r>
          </w:p>
        </w:tc>
      </w:tr>
      <w:tr w:rsidR="00DF1A44" w:rsidRPr="00E60C85" w14:paraId="1476B2C9" w14:textId="77777777" w:rsidTr="00A078EB">
        <w:trPr>
          <w:trHeight w:val="459"/>
        </w:trPr>
        <w:tc>
          <w:tcPr>
            <w:tcW w:w="1527" w:type="dxa"/>
            <w:vMerge/>
            <w:shd w:val="clear" w:color="auto" w:fill="E2EFD9" w:themeFill="accent6" w:themeFillTint="33"/>
          </w:tcPr>
          <w:p w14:paraId="789127F7" w14:textId="77777777" w:rsidR="00DF1A44" w:rsidRPr="00D31950" w:rsidRDefault="00DF1A44" w:rsidP="00D93676">
            <w:pPr>
              <w:pStyle w:val="Headinglevel1"/>
              <w:spacing w:before="60" w:after="6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3B71DD9" w14:textId="77777777" w:rsidR="00DF1A44" w:rsidRPr="00D31950" w:rsidRDefault="00DF1A44" w:rsidP="00D93676">
            <w:pPr>
              <w:pStyle w:val="Headinglevel1"/>
              <w:spacing w:before="60" w:after="6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14:paraId="5300F60E" w14:textId="77777777" w:rsidR="00DF1A44" w:rsidRPr="00D31950" w:rsidRDefault="00DF1A44" w:rsidP="00D93676">
            <w:pPr>
              <w:pStyle w:val="Headinglevel1"/>
              <w:spacing w:before="60" w:after="6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</w:tcPr>
          <w:p w14:paraId="66EC6A66" w14:textId="77777777" w:rsidR="00DF1A44" w:rsidRPr="00D31950" w:rsidRDefault="00DF1A44" w:rsidP="00D93676">
            <w:pPr>
              <w:pStyle w:val="Headinglevel1"/>
              <w:spacing w:before="60" w:after="6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74" w:type="dxa"/>
            <w:gridSpan w:val="2"/>
          </w:tcPr>
          <w:p w14:paraId="16BAB9CD" w14:textId="77777777" w:rsidR="00DF1A44" w:rsidRPr="00D31950" w:rsidRDefault="00DF1A44" w:rsidP="00D93676">
            <w:pPr>
              <w:pStyle w:val="Headinglevel1"/>
              <w:spacing w:before="60" w:after="6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34626308" w14:textId="77777777" w:rsidR="00A56226" w:rsidRDefault="00A56226" w:rsidP="006A2C9B">
      <w:pPr>
        <w:pStyle w:val="Headinglevel1"/>
        <w:spacing w:before="240" w:after="0"/>
        <w:jc w:val="both"/>
        <w:rPr>
          <w:rFonts w:cs="Arial"/>
          <w:b w:val="0"/>
          <w:bCs/>
          <w:color w:val="auto"/>
          <w:sz w:val="22"/>
          <w:szCs w:val="22"/>
        </w:rPr>
      </w:pPr>
    </w:p>
    <w:p w14:paraId="16365788" w14:textId="77777777" w:rsidR="00EF2CA6" w:rsidRPr="00EF2CA6" w:rsidRDefault="00DF1A44" w:rsidP="006A2C9B">
      <w:pPr>
        <w:pStyle w:val="NormalWeb"/>
        <w:spacing w:before="0" w:beforeAutospacing="0" w:after="120" w:afterAutospacing="0"/>
        <w:jc w:val="both"/>
        <w:rPr>
          <w:rFonts w:ascii="Rockwell" w:eastAsia="Calibri" w:hAnsi="Rockwell" w:cstheme="minorHAnsi"/>
          <w:bCs/>
        </w:rPr>
      </w:pPr>
      <w:r w:rsidRPr="00EF2CA6">
        <w:rPr>
          <w:rFonts w:ascii="Rockwell" w:hAnsi="Rockwell" w:cs="Arial"/>
          <w:b/>
          <w:szCs w:val="22"/>
        </w:rPr>
        <w:t>Signature to confirm declaration</w:t>
      </w:r>
      <w:r w:rsidR="00D13FFA" w:rsidRPr="00EF2CA6">
        <w:rPr>
          <w:rFonts w:ascii="Rockwell" w:hAnsi="Rockwell" w:cs="Arial"/>
          <w:bCs/>
          <w:szCs w:val="22"/>
        </w:rPr>
        <w:t>:</w:t>
      </w:r>
      <w:r w:rsidR="0036154D" w:rsidRPr="00EF2CA6">
        <w:rPr>
          <w:rFonts w:ascii="Rockwell" w:eastAsia="Calibri" w:hAnsi="Rockwell" w:cstheme="minorHAnsi"/>
          <w:bCs/>
          <w:i/>
          <w:iCs/>
        </w:rPr>
        <w:t xml:space="preserve"> </w:t>
      </w:r>
    </w:p>
    <w:p w14:paraId="4249504D" w14:textId="6AC83CB0" w:rsidR="0036154D" w:rsidRPr="00EF2CA6" w:rsidRDefault="0036154D" w:rsidP="00862CBB">
      <w:pPr>
        <w:pStyle w:val="NormalWeb"/>
        <w:spacing w:before="0" w:beforeAutospacing="0" w:after="120" w:afterAutospacing="0"/>
        <w:jc w:val="both"/>
        <w:rPr>
          <w:rFonts w:ascii="Rockwell" w:hAnsi="Rockwell"/>
          <w:bCs/>
          <w:color w:val="302144"/>
          <w:sz w:val="20"/>
          <w:szCs w:val="20"/>
        </w:rPr>
      </w:pPr>
      <w:r w:rsidRPr="00EF2CA6">
        <w:rPr>
          <w:rFonts w:ascii="Rockwell" w:eastAsia="Calibri" w:hAnsi="Rockwell" w:cstheme="minorHAnsi"/>
          <w:bCs/>
          <w:i/>
          <w:iCs/>
          <w:sz w:val="20"/>
          <w:szCs w:val="20"/>
        </w:rPr>
        <w:t xml:space="preserve">By signing </w:t>
      </w:r>
      <w:r w:rsidR="00792BD8" w:rsidRPr="00EF2CA6">
        <w:rPr>
          <w:rFonts w:ascii="Rockwell" w:eastAsia="Calibri" w:hAnsi="Rockwell" w:cstheme="minorHAnsi"/>
          <w:bCs/>
          <w:i/>
          <w:iCs/>
          <w:sz w:val="20"/>
          <w:szCs w:val="20"/>
        </w:rPr>
        <w:t>here,</w:t>
      </w:r>
      <w:r w:rsidRPr="00EF2CA6">
        <w:rPr>
          <w:rFonts w:ascii="Rockwell" w:eastAsia="Calibri" w:hAnsi="Rockwell" w:cstheme="minorHAnsi"/>
          <w:bCs/>
          <w:i/>
          <w:iCs/>
          <w:sz w:val="20"/>
          <w:szCs w:val="20"/>
        </w:rPr>
        <w:t xml:space="preserve"> I a</w:t>
      </w:r>
      <w:r w:rsidR="00644B9E">
        <w:rPr>
          <w:rFonts w:ascii="Rockwell" w:eastAsia="Calibri" w:hAnsi="Rockwell" w:cstheme="minorHAnsi"/>
          <w:bCs/>
          <w:i/>
          <w:iCs/>
          <w:sz w:val="20"/>
          <w:szCs w:val="20"/>
        </w:rPr>
        <w:t>m also confirming I am aware of</w:t>
      </w:r>
      <w:r w:rsidRPr="00EF2CA6">
        <w:rPr>
          <w:rFonts w:ascii="Rockwell" w:eastAsia="Calibri" w:hAnsi="Rockwell" w:cstheme="minorHAnsi"/>
          <w:bCs/>
          <w:i/>
          <w:iCs/>
          <w:sz w:val="20"/>
          <w:szCs w:val="20"/>
        </w:rPr>
        <w:t xml:space="preserve"> the need to maintain the </w:t>
      </w:r>
      <w:r w:rsidRPr="00AB7022">
        <w:rPr>
          <w:rFonts w:ascii="Rockwell" w:hAnsi="Rockwell"/>
          <w:bCs/>
          <w:i/>
          <w:iCs/>
          <w:color w:val="0C0C0A"/>
          <w:sz w:val="20"/>
          <w:szCs w:val="20"/>
        </w:rPr>
        <w:t xml:space="preserve">confidentiality of the grades and endorsements determined by the centre </w:t>
      </w:r>
      <w:r w:rsidR="00AB7022" w:rsidRPr="00AB7022">
        <w:rPr>
          <w:rFonts w:ascii="Rockwell" w:hAnsi="Rockwell"/>
          <w:bCs/>
          <w:i/>
          <w:iCs/>
          <w:color w:val="0C0C0A"/>
          <w:sz w:val="20"/>
          <w:szCs w:val="20"/>
        </w:rPr>
        <w:t xml:space="preserve">which </w:t>
      </w:r>
      <w:r w:rsidRPr="00AB7022">
        <w:rPr>
          <w:rFonts w:ascii="Rockwell" w:hAnsi="Rockwell"/>
          <w:bCs/>
          <w:i/>
          <w:iCs/>
          <w:color w:val="0C0C0A"/>
          <w:sz w:val="20"/>
          <w:szCs w:val="20"/>
        </w:rPr>
        <w:t>must not be given to candidates or parents/carers</w:t>
      </w:r>
      <w:r w:rsidR="004720D9" w:rsidRPr="00AB7022">
        <w:rPr>
          <w:rFonts w:ascii="Rockwell" w:hAnsi="Rockwell"/>
          <w:bCs/>
          <w:i/>
          <w:iCs/>
          <w:color w:val="302144"/>
          <w:sz w:val="20"/>
          <w:szCs w:val="20"/>
        </w:rPr>
        <w:t xml:space="preserve"> </w:t>
      </w:r>
      <w:r w:rsidRPr="00AB7022">
        <w:rPr>
          <w:rFonts w:ascii="Rockwell" w:hAnsi="Rockwell"/>
          <w:bCs/>
          <w:i/>
          <w:iCs/>
          <w:color w:val="0C0C0A"/>
          <w:sz w:val="20"/>
          <w:szCs w:val="20"/>
        </w:rPr>
        <w:t>before the issue of results</w:t>
      </w:r>
      <w:r w:rsidR="00AB7022">
        <w:rPr>
          <w:rFonts w:ascii="Rockwell" w:hAnsi="Rockwell"/>
          <w:bCs/>
          <w:i/>
          <w:iCs/>
          <w:color w:val="0C0C0A"/>
          <w:sz w:val="20"/>
          <w:szCs w:val="20"/>
        </w:rPr>
        <w:t xml:space="preserve"> by the awarding bodies</w:t>
      </w:r>
    </w:p>
    <w:p w14:paraId="2BE943AD" w14:textId="0D81418D" w:rsidR="00DF1A44" w:rsidRPr="0028688A" w:rsidRDefault="00EF2CA6" w:rsidP="00862CBB">
      <w:pPr>
        <w:spacing w:before="120" w:after="120"/>
        <w:jc w:val="both"/>
        <w:rPr>
          <w:b/>
        </w:rPr>
      </w:pPr>
      <w:r w:rsidRPr="00EF2CA6">
        <w:rPr>
          <w:b/>
          <w:bCs/>
        </w:rPr>
        <w:t>Date declaration form completed</w:t>
      </w:r>
      <w:r>
        <w:rPr>
          <w:b/>
          <w:bCs/>
        </w:rPr>
        <w:t xml:space="preserve"> and signed</w:t>
      </w:r>
      <w:r w:rsidRPr="00EF2CA6">
        <w:t>:</w:t>
      </w:r>
    </w:p>
    <w:p w14:paraId="6D54B3A1" w14:textId="0E757147" w:rsidR="00DF1A44" w:rsidRPr="00940E17" w:rsidRDefault="00DF1A44" w:rsidP="00940E17">
      <w:pPr>
        <w:spacing w:after="120"/>
        <w:jc w:val="both"/>
        <w:rPr>
          <w:rFonts w:eastAsiaTheme="minorEastAsia"/>
        </w:rPr>
      </w:pPr>
      <w:r w:rsidRPr="00610976">
        <w:rPr>
          <w:rFonts w:cs="Arial"/>
          <w:szCs w:val="22"/>
        </w:rPr>
        <w:t xml:space="preserve">You will be informed </w:t>
      </w:r>
      <w:r w:rsidR="00610976">
        <w:rPr>
          <w:rFonts w:cs="Arial"/>
          <w:szCs w:val="22"/>
        </w:rPr>
        <w:t xml:space="preserve">of </w:t>
      </w:r>
      <w:r w:rsidR="00610976" w:rsidRPr="00EF2CA6">
        <w:rPr>
          <w:rFonts w:cs="Arial"/>
          <w:szCs w:val="22"/>
        </w:rPr>
        <w:t>any</w:t>
      </w:r>
      <w:r w:rsidR="007D099F" w:rsidRPr="00EF2CA6">
        <w:rPr>
          <w:rFonts w:eastAsia="Calibri" w:cs="Calibri"/>
          <w:i/>
          <w:iCs/>
          <w:szCs w:val="22"/>
        </w:rPr>
        <w:t xml:space="preserve"> </w:t>
      </w:r>
      <w:r w:rsidR="00610976" w:rsidRPr="00EF2CA6">
        <w:rPr>
          <w:rFonts w:cs="Arial"/>
        </w:rPr>
        <w:t xml:space="preserve">additional controls put in place that directly affect you/your role to mitigate any potential risk to the integrity of the centre’s assessments and </w:t>
      </w:r>
      <w:r w:rsidR="00610976" w:rsidRPr="00EF2CA6">
        <w:rPr>
          <w:rFonts w:eastAsia="Calibri" w:cs="Calibri"/>
        </w:rPr>
        <w:t>to ensure fairness in later process reviews and appeals</w:t>
      </w:r>
    </w:p>
    <w:p w14:paraId="66215CF9" w14:textId="68AC2B22" w:rsidR="008B635F" w:rsidRPr="008B635F" w:rsidRDefault="00610976" w:rsidP="008B635F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</w:pPr>
      <w:r w:rsidRPr="00EF2CA6">
        <w:rPr>
          <w:rFonts w:ascii="Verdana" w:hAnsi="Verdana" w:cs="Arial"/>
          <w:b/>
          <w:bCs/>
          <w:color w:val="595959" w:themeColor="text1" w:themeTint="A6"/>
          <w:sz w:val="18"/>
          <w:szCs w:val="18"/>
        </w:rPr>
        <w:t xml:space="preserve">This record will be retained </w:t>
      </w:r>
      <w:r w:rsidR="00AE107B" w:rsidRPr="00EF2CA6"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  <w:t>until the published deadline for appeals has passed</w:t>
      </w:r>
      <w:r w:rsidRPr="00EF2CA6"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  <w:t xml:space="preserve"> or until </w:t>
      </w:r>
      <w:r w:rsidR="00EF2CA6" w:rsidRPr="00EF2CA6"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  <w:t xml:space="preserve">any </w:t>
      </w:r>
      <w:r w:rsidR="00AE107B" w:rsidRPr="00EF2CA6"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  <w:t xml:space="preserve">on-going appeal, malpractice investigation or other results enquiry </w:t>
      </w:r>
      <w:r w:rsidR="00EF2CA6" w:rsidRPr="00EF2CA6"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  <w:t>has been completed, whichever is later</w:t>
      </w:r>
      <w:r w:rsidR="00E9472E"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  <w:br w:type="page"/>
      </w:r>
    </w:p>
    <w:p w14:paraId="4A25FB8E" w14:textId="4F8F3B6B" w:rsidR="00431A2C" w:rsidRPr="00E9472E" w:rsidRDefault="00431A2C" w:rsidP="00E9472E">
      <w:pPr>
        <w:pStyle w:val="Headinglevel1"/>
        <w:rPr>
          <w:rFonts w:ascii="Verdana" w:hAnsi="Verdana"/>
          <w:bCs/>
          <w:color w:val="595959" w:themeColor="text1" w:themeTint="A6"/>
          <w:sz w:val="18"/>
          <w:szCs w:val="18"/>
        </w:rPr>
      </w:pPr>
      <w:r w:rsidRPr="0015100E">
        <w:lastRenderedPageBreak/>
        <w:t>Conflict</w:t>
      </w:r>
      <w:r w:rsidR="0061217B">
        <w:t>s</w:t>
      </w:r>
      <w:r w:rsidRPr="0015100E">
        <w:t xml:space="preserve"> of Interest log </w:t>
      </w:r>
      <w:r w:rsidR="00D13FFA">
        <w:t xml:space="preserve">– </w:t>
      </w:r>
      <w:r w:rsidR="00D13FFA" w:rsidRPr="002D1A17">
        <w:t xml:space="preserve">Summer </w:t>
      </w:r>
      <w:r w:rsidR="002D1A17" w:rsidRPr="002D1A17"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8180"/>
      </w:tblGrid>
      <w:tr w:rsidR="000B0547" w14:paraId="33903A7D" w14:textId="77777777" w:rsidTr="008D6D58">
        <w:tc>
          <w:tcPr>
            <w:tcW w:w="1980" w:type="dxa"/>
            <w:shd w:val="clear" w:color="auto" w:fill="D9E2F3" w:themeFill="accent1" w:themeFillTint="33"/>
          </w:tcPr>
          <w:p w14:paraId="7B271FA2" w14:textId="3D96DC55" w:rsidR="000B0547" w:rsidRPr="000B0547" w:rsidRDefault="000B0547" w:rsidP="000B0547">
            <w:pPr>
              <w:spacing w:before="120" w:after="120"/>
              <w:rPr>
                <w:rFonts w:ascii="Rockwell Condensed" w:hAnsi="Rockwell Condensed"/>
                <w:szCs w:val="24"/>
              </w:rPr>
            </w:pPr>
            <w:r w:rsidRPr="000B0547">
              <w:rPr>
                <w:rFonts w:ascii="Rockwell Condensed" w:hAnsi="Rockwell Condensed"/>
              </w:rPr>
              <w:t>Date recorded</w:t>
            </w:r>
          </w:p>
        </w:tc>
        <w:tc>
          <w:tcPr>
            <w:tcW w:w="8322" w:type="dxa"/>
            <w:gridSpan w:val="2"/>
            <w:shd w:val="clear" w:color="auto" w:fill="D9E2F3" w:themeFill="accent1" w:themeFillTint="33"/>
          </w:tcPr>
          <w:p w14:paraId="26F58230" w14:textId="00D16D0A" w:rsidR="000B0547" w:rsidRPr="00F1574C" w:rsidRDefault="00F1574C" w:rsidP="000B0547">
            <w:pPr>
              <w:spacing w:before="120" w:after="120"/>
              <w:rPr>
                <w:rFonts w:ascii="Rockwell Condensed" w:hAnsi="Rockwell Condensed"/>
              </w:rPr>
            </w:pPr>
            <w:r w:rsidRPr="00AB37F9">
              <w:rPr>
                <w:rFonts w:ascii="Rockwell Condensed" w:hAnsi="Rockwell Condensed"/>
              </w:rPr>
              <w:t>Staff name</w:t>
            </w:r>
            <w:r>
              <w:rPr>
                <w:rFonts w:ascii="Rockwell Condensed" w:hAnsi="Rockwell Condensed"/>
              </w:rPr>
              <w:t xml:space="preserve"> &amp; role(s)</w:t>
            </w:r>
          </w:p>
        </w:tc>
      </w:tr>
      <w:tr w:rsidR="000B0547" w14:paraId="20B5F0CA" w14:textId="77777777" w:rsidTr="008D6D58">
        <w:tc>
          <w:tcPr>
            <w:tcW w:w="1980" w:type="dxa"/>
          </w:tcPr>
          <w:p w14:paraId="3F209917" w14:textId="77777777" w:rsidR="000B0547" w:rsidRDefault="000B0547" w:rsidP="000B0547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8322" w:type="dxa"/>
            <w:gridSpan w:val="2"/>
          </w:tcPr>
          <w:p w14:paraId="609DCC5D" w14:textId="77777777" w:rsidR="000B0547" w:rsidRDefault="000B0547" w:rsidP="000B0547">
            <w:pPr>
              <w:spacing w:before="120" w:after="120"/>
              <w:rPr>
                <w:b/>
                <w:szCs w:val="24"/>
              </w:rPr>
            </w:pPr>
          </w:p>
        </w:tc>
      </w:tr>
      <w:tr w:rsidR="00F1574C" w14:paraId="436A6616" w14:textId="77777777" w:rsidTr="00D93676">
        <w:tc>
          <w:tcPr>
            <w:tcW w:w="10302" w:type="dxa"/>
            <w:gridSpan w:val="3"/>
            <w:shd w:val="clear" w:color="auto" w:fill="D9E2F3" w:themeFill="accent1" w:themeFillTint="33"/>
          </w:tcPr>
          <w:p w14:paraId="70889934" w14:textId="49F36025" w:rsidR="00F1574C" w:rsidRDefault="00F1574C" w:rsidP="000B0547">
            <w:pPr>
              <w:spacing w:before="120" w:after="120"/>
              <w:rPr>
                <w:b/>
                <w:szCs w:val="24"/>
              </w:rPr>
            </w:pPr>
            <w:r>
              <w:rPr>
                <w:rFonts w:ascii="Rockwell Condensed" w:hAnsi="Rockwell Condensed" w:cs="Arial"/>
                <w:bCs/>
              </w:rPr>
              <w:t xml:space="preserve">Nature of potential conflict  </w:t>
            </w:r>
          </w:p>
        </w:tc>
      </w:tr>
      <w:tr w:rsidR="00F1574C" w14:paraId="0C3B562F" w14:textId="77777777" w:rsidTr="00D93676">
        <w:tc>
          <w:tcPr>
            <w:tcW w:w="10302" w:type="dxa"/>
            <w:gridSpan w:val="3"/>
          </w:tcPr>
          <w:p w14:paraId="6D37AED7" w14:textId="77777777" w:rsidR="00F1574C" w:rsidRDefault="00F1574C" w:rsidP="005D336C">
            <w:pPr>
              <w:spacing w:before="120" w:after="120"/>
              <w:rPr>
                <w:b/>
                <w:szCs w:val="24"/>
              </w:rPr>
            </w:pPr>
          </w:p>
        </w:tc>
      </w:tr>
      <w:tr w:rsidR="0074433C" w14:paraId="302D69B5" w14:textId="77777777" w:rsidTr="00E47273">
        <w:tc>
          <w:tcPr>
            <w:tcW w:w="2122" w:type="dxa"/>
            <w:gridSpan w:val="2"/>
            <w:shd w:val="clear" w:color="auto" w:fill="F2F2F2" w:themeFill="background1" w:themeFillShade="F2"/>
          </w:tcPr>
          <w:p w14:paraId="2C18AEB7" w14:textId="590DC597" w:rsidR="0074433C" w:rsidRPr="0074433C" w:rsidRDefault="00A60BD2" w:rsidP="00A60BD2">
            <w:pPr>
              <w:spacing w:before="120" w:after="120"/>
              <w:rPr>
                <w:rFonts w:ascii="Rockwell Condensed" w:hAnsi="Rockwell Condensed"/>
                <w:color w:val="FF3300"/>
              </w:rPr>
            </w:pPr>
            <w:r>
              <w:rPr>
                <w:rFonts w:ascii="Rockwell Condensed" w:hAnsi="Rockwell Condensed"/>
              </w:rPr>
              <w:t>Deemed</w:t>
            </w:r>
            <w:r w:rsidR="0074433C" w:rsidRPr="0074433C">
              <w:rPr>
                <w:rFonts w:ascii="Rockwell Condensed" w:hAnsi="Rockwell Condensed" w:cs="Arial"/>
              </w:rPr>
              <w:t xml:space="preserve"> a potential risk</w:t>
            </w:r>
            <w:r w:rsidR="0074433C">
              <w:rPr>
                <w:rFonts w:ascii="Rockwell Condensed" w:hAnsi="Rockwell Condensed" w:cs="Arial"/>
              </w:rPr>
              <w:t xml:space="preserve"> </w:t>
            </w:r>
          </w:p>
        </w:tc>
        <w:tc>
          <w:tcPr>
            <w:tcW w:w="8180" w:type="dxa"/>
          </w:tcPr>
          <w:p w14:paraId="3133ED90" w14:textId="426DF037" w:rsidR="0074433C" w:rsidRPr="000B2230" w:rsidRDefault="0074433C" w:rsidP="000B0547">
            <w:pPr>
              <w:spacing w:before="120" w:after="120"/>
              <w:rPr>
                <w:bCs/>
              </w:rPr>
            </w:pPr>
            <w:r w:rsidRPr="000B2230">
              <w:rPr>
                <w:bCs/>
              </w:rPr>
              <w:t>Yes / No</w:t>
            </w:r>
          </w:p>
        </w:tc>
      </w:tr>
      <w:tr w:rsidR="00F1574C" w14:paraId="6854FD67" w14:textId="77777777" w:rsidTr="00E47273">
        <w:tc>
          <w:tcPr>
            <w:tcW w:w="10302" w:type="dxa"/>
            <w:gridSpan w:val="3"/>
            <w:shd w:val="clear" w:color="auto" w:fill="F2F2F2" w:themeFill="background1" w:themeFillShade="F2"/>
          </w:tcPr>
          <w:p w14:paraId="2B0B374B" w14:textId="570876DD" w:rsidR="00F1574C" w:rsidRDefault="00A60BD2" w:rsidP="000B0547">
            <w:pPr>
              <w:spacing w:before="120" w:after="120"/>
              <w:rPr>
                <w:b/>
              </w:rPr>
            </w:pPr>
            <w:r w:rsidRPr="00A60BD2">
              <w:rPr>
                <w:rFonts w:ascii="Rockwell Condensed" w:hAnsi="Rockwell Condensed" w:cs="Arial"/>
              </w:rPr>
              <w:t>A</w:t>
            </w:r>
            <w:r w:rsidR="0074433C" w:rsidRPr="00A60BD2">
              <w:rPr>
                <w:rFonts w:ascii="Rockwell Condensed" w:hAnsi="Rockwell Condensed" w:cs="Arial"/>
              </w:rPr>
              <w:t>dditional controls put in place to mitigate any potential risk to the integrity of the centre’s assessments and</w:t>
            </w:r>
            <w:r>
              <w:rPr>
                <w:rFonts w:ascii="Rockwell Condensed" w:hAnsi="Rockwell Condensed" w:cs="Arial"/>
              </w:rPr>
              <w:t>/or</w:t>
            </w:r>
            <w:r w:rsidR="0074433C" w:rsidRPr="00A60BD2">
              <w:rPr>
                <w:rFonts w:ascii="Rockwell Condensed" w:hAnsi="Rockwell Condensed" w:cs="Arial"/>
              </w:rPr>
              <w:t xml:space="preserve"> </w:t>
            </w:r>
            <w:r w:rsidR="0074433C" w:rsidRPr="00A60BD2">
              <w:rPr>
                <w:rFonts w:ascii="Rockwell Condensed" w:eastAsia="Calibri" w:hAnsi="Rockwell Condensed" w:cs="Calibri"/>
              </w:rPr>
              <w:t>to ensure fairness in later process reviews and appeals</w:t>
            </w:r>
          </w:p>
        </w:tc>
      </w:tr>
      <w:tr w:rsidR="00F1574C" w14:paraId="4019B932" w14:textId="77777777" w:rsidTr="00D93676">
        <w:tc>
          <w:tcPr>
            <w:tcW w:w="10302" w:type="dxa"/>
            <w:gridSpan w:val="3"/>
          </w:tcPr>
          <w:p w14:paraId="4066BAD1" w14:textId="613B327E" w:rsidR="00A60BD2" w:rsidRDefault="00A60BD2" w:rsidP="000B0547">
            <w:pPr>
              <w:spacing w:before="120" w:after="120"/>
              <w:rPr>
                <w:b/>
              </w:rPr>
            </w:pPr>
          </w:p>
        </w:tc>
      </w:tr>
    </w:tbl>
    <w:p w14:paraId="49ED09C7" w14:textId="6FD6B1D0" w:rsidR="00A60BD2" w:rsidRDefault="00A60BD2" w:rsidP="00431A2C">
      <w:pPr>
        <w:pStyle w:val="Headinglevel1"/>
        <w:spacing w:before="120" w:after="120"/>
        <w:rPr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8180"/>
      </w:tblGrid>
      <w:tr w:rsidR="00A60BD2" w14:paraId="68BF0D96" w14:textId="77777777" w:rsidTr="00D93676">
        <w:tc>
          <w:tcPr>
            <w:tcW w:w="1980" w:type="dxa"/>
            <w:shd w:val="clear" w:color="auto" w:fill="D9E2F3" w:themeFill="accent1" w:themeFillTint="33"/>
          </w:tcPr>
          <w:p w14:paraId="654F061F" w14:textId="77777777" w:rsidR="00A60BD2" w:rsidRPr="000B0547" w:rsidRDefault="00A60BD2" w:rsidP="00D93676">
            <w:pPr>
              <w:spacing w:before="120" w:after="120"/>
              <w:rPr>
                <w:rFonts w:ascii="Rockwell Condensed" w:hAnsi="Rockwell Condensed"/>
                <w:szCs w:val="24"/>
              </w:rPr>
            </w:pPr>
            <w:r w:rsidRPr="000B0547">
              <w:rPr>
                <w:rFonts w:ascii="Rockwell Condensed" w:hAnsi="Rockwell Condensed"/>
              </w:rPr>
              <w:t>Date recorded</w:t>
            </w:r>
          </w:p>
        </w:tc>
        <w:tc>
          <w:tcPr>
            <w:tcW w:w="8322" w:type="dxa"/>
            <w:gridSpan w:val="2"/>
            <w:shd w:val="clear" w:color="auto" w:fill="D9E2F3" w:themeFill="accent1" w:themeFillTint="33"/>
          </w:tcPr>
          <w:p w14:paraId="23AAC11C" w14:textId="77777777" w:rsidR="00A60BD2" w:rsidRPr="00F1574C" w:rsidRDefault="00A60BD2" w:rsidP="00D93676">
            <w:pPr>
              <w:spacing w:before="120" w:after="120"/>
              <w:rPr>
                <w:rFonts w:ascii="Rockwell Condensed" w:hAnsi="Rockwell Condensed"/>
              </w:rPr>
            </w:pPr>
            <w:r w:rsidRPr="00AB37F9">
              <w:rPr>
                <w:rFonts w:ascii="Rockwell Condensed" w:hAnsi="Rockwell Condensed"/>
              </w:rPr>
              <w:t>Staff name</w:t>
            </w:r>
            <w:r>
              <w:rPr>
                <w:rFonts w:ascii="Rockwell Condensed" w:hAnsi="Rockwell Condensed"/>
              </w:rPr>
              <w:t xml:space="preserve"> &amp; role(s)</w:t>
            </w:r>
          </w:p>
        </w:tc>
      </w:tr>
      <w:tr w:rsidR="00A60BD2" w14:paraId="7451B671" w14:textId="77777777" w:rsidTr="00D93676">
        <w:tc>
          <w:tcPr>
            <w:tcW w:w="1980" w:type="dxa"/>
          </w:tcPr>
          <w:p w14:paraId="04791919" w14:textId="77777777" w:rsidR="00A60BD2" w:rsidRDefault="00A60BD2" w:rsidP="00D93676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8322" w:type="dxa"/>
            <w:gridSpan w:val="2"/>
          </w:tcPr>
          <w:p w14:paraId="34C4933F" w14:textId="77777777" w:rsidR="00A60BD2" w:rsidRDefault="00A60BD2" w:rsidP="00D93676">
            <w:pPr>
              <w:spacing w:before="120" w:after="120"/>
              <w:rPr>
                <w:b/>
                <w:szCs w:val="24"/>
              </w:rPr>
            </w:pPr>
          </w:p>
        </w:tc>
      </w:tr>
      <w:tr w:rsidR="00A60BD2" w14:paraId="59497919" w14:textId="77777777" w:rsidTr="00D93676">
        <w:tc>
          <w:tcPr>
            <w:tcW w:w="10302" w:type="dxa"/>
            <w:gridSpan w:val="3"/>
            <w:shd w:val="clear" w:color="auto" w:fill="D9E2F3" w:themeFill="accent1" w:themeFillTint="33"/>
          </w:tcPr>
          <w:p w14:paraId="7DD11617" w14:textId="77777777" w:rsidR="00A60BD2" w:rsidRDefault="00A60BD2" w:rsidP="00D93676">
            <w:pPr>
              <w:spacing w:before="120" w:after="120"/>
              <w:rPr>
                <w:b/>
                <w:szCs w:val="24"/>
              </w:rPr>
            </w:pPr>
            <w:r>
              <w:rPr>
                <w:rFonts w:ascii="Rockwell Condensed" w:hAnsi="Rockwell Condensed" w:cs="Arial"/>
                <w:bCs/>
              </w:rPr>
              <w:t xml:space="preserve">Nature of potential conflict  </w:t>
            </w:r>
          </w:p>
        </w:tc>
      </w:tr>
      <w:tr w:rsidR="00A60BD2" w14:paraId="09A68790" w14:textId="77777777" w:rsidTr="00D93676">
        <w:tc>
          <w:tcPr>
            <w:tcW w:w="10302" w:type="dxa"/>
            <w:gridSpan w:val="3"/>
          </w:tcPr>
          <w:p w14:paraId="72B7A0F3" w14:textId="77777777" w:rsidR="00A60BD2" w:rsidRDefault="00A60BD2" w:rsidP="00D93676">
            <w:pPr>
              <w:spacing w:before="120" w:after="120"/>
              <w:rPr>
                <w:b/>
                <w:szCs w:val="24"/>
              </w:rPr>
            </w:pPr>
          </w:p>
        </w:tc>
      </w:tr>
      <w:tr w:rsidR="00A60BD2" w14:paraId="095ED019" w14:textId="77777777" w:rsidTr="00E47273">
        <w:tc>
          <w:tcPr>
            <w:tcW w:w="2122" w:type="dxa"/>
            <w:gridSpan w:val="2"/>
            <w:shd w:val="clear" w:color="auto" w:fill="F2F2F2" w:themeFill="background1" w:themeFillShade="F2"/>
          </w:tcPr>
          <w:p w14:paraId="54AB4766" w14:textId="77777777" w:rsidR="00A60BD2" w:rsidRPr="0074433C" w:rsidRDefault="00A60BD2" w:rsidP="00D93676">
            <w:pPr>
              <w:spacing w:before="120" w:after="120"/>
              <w:rPr>
                <w:rFonts w:ascii="Rockwell Condensed" w:hAnsi="Rockwell Condensed"/>
                <w:color w:val="FF3300"/>
              </w:rPr>
            </w:pPr>
            <w:r>
              <w:rPr>
                <w:rFonts w:ascii="Rockwell Condensed" w:hAnsi="Rockwell Condensed"/>
              </w:rPr>
              <w:t>Deemed</w:t>
            </w:r>
            <w:r w:rsidRPr="0074433C">
              <w:rPr>
                <w:rFonts w:ascii="Rockwell Condensed" w:hAnsi="Rockwell Condensed" w:cs="Arial"/>
              </w:rPr>
              <w:t xml:space="preserve"> a potential risk</w:t>
            </w:r>
            <w:r>
              <w:rPr>
                <w:rFonts w:ascii="Rockwell Condensed" w:hAnsi="Rockwell Condensed" w:cs="Arial"/>
              </w:rPr>
              <w:t xml:space="preserve"> </w:t>
            </w:r>
          </w:p>
        </w:tc>
        <w:tc>
          <w:tcPr>
            <w:tcW w:w="8180" w:type="dxa"/>
          </w:tcPr>
          <w:p w14:paraId="49DEF4B6" w14:textId="77777777" w:rsidR="00A60BD2" w:rsidRPr="000B2230" w:rsidRDefault="00A60BD2" w:rsidP="00D93676">
            <w:pPr>
              <w:spacing w:before="120" w:after="120"/>
              <w:rPr>
                <w:bCs/>
              </w:rPr>
            </w:pPr>
            <w:r w:rsidRPr="000B2230">
              <w:rPr>
                <w:bCs/>
              </w:rPr>
              <w:t>Yes / No</w:t>
            </w:r>
          </w:p>
        </w:tc>
      </w:tr>
      <w:tr w:rsidR="00A60BD2" w14:paraId="6D424B86" w14:textId="77777777" w:rsidTr="00E47273">
        <w:tc>
          <w:tcPr>
            <w:tcW w:w="10302" w:type="dxa"/>
            <w:gridSpan w:val="3"/>
            <w:shd w:val="clear" w:color="auto" w:fill="F2F2F2" w:themeFill="background1" w:themeFillShade="F2"/>
          </w:tcPr>
          <w:p w14:paraId="15620ABA" w14:textId="77777777" w:rsidR="00A60BD2" w:rsidRDefault="00A60BD2" w:rsidP="00D93676">
            <w:pPr>
              <w:spacing w:before="120" w:after="120"/>
              <w:rPr>
                <w:b/>
              </w:rPr>
            </w:pPr>
            <w:r w:rsidRPr="00A60BD2">
              <w:rPr>
                <w:rFonts w:ascii="Rockwell Condensed" w:hAnsi="Rockwell Condensed" w:cs="Arial"/>
              </w:rPr>
              <w:t>Additional controls put in place to mitigate any potential risk to the integrity of the centre’s assessments and</w:t>
            </w:r>
            <w:r>
              <w:rPr>
                <w:rFonts w:ascii="Rockwell Condensed" w:hAnsi="Rockwell Condensed" w:cs="Arial"/>
              </w:rPr>
              <w:t>/or</w:t>
            </w:r>
            <w:r w:rsidRPr="00A60BD2">
              <w:rPr>
                <w:rFonts w:ascii="Rockwell Condensed" w:hAnsi="Rockwell Condensed" w:cs="Arial"/>
              </w:rPr>
              <w:t xml:space="preserve"> </w:t>
            </w:r>
            <w:r w:rsidRPr="00A60BD2">
              <w:rPr>
                <w:rFonts w:ascii="Rockwell Condensed" w:eastAsia="Calibri" w:hAnsi="Rockwell Condensed" w:cs="Calibri"/>
              </w:rPr>
              <w:t>to ensure fairness in later process reviews and appeals</w:t>
            </w:r>
          </w:p>
        </w:tc>
      </w:tr>
      <w:tr w:rsidR="00A60BD2" w14:paraId="0A7226A6" w14:textId="77777777" w:rsidTr="00D93676">
        <w:tc>
          <w:tcPr>
            <w:tcW w:w="10302" w:type="dxa"/>
            <w:gridSpan w:val="3"/>
          </w:tcPr>
          <w:p w14:paraId="2358383C" w14:textId="77777777" w:rsidR="00A60BD2" w:rsidRDefault="00A60BD2" w:rsidP="00D93676">
            <w:pPr>
              <w:spacing w:before="120" w:after="120"/>
              <w:rPr>
                <w:b/>
              </w:rPr>
            </w:pPr>
          </w:p>
        </w:tc>
      </w:tr>
    </w:tbl>
    <w:p w14:paraId="09177683" w14:textId="7C0A5DD9" w:rsidR="00A60BD2" w:rsidRDefault="00A60BD2" w:rsidP="00431A2C">
      <w:pPr>
        <w:pStyle w:val="Headinglevel1"/>
        <w:spacing w:before="120" w:after="120"/>
        <w:rPr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8180"/>
      </w:tblGrid>
      <w:tr w:rsidR="000B2230" w14:paraId="376EF7B0" w14:textId="77777777" w:rsidTr="008E153B">
        <w:tc>
          <w:tcPr>
            <w:tcW w:w="1980" w:type="dxa"/>
            <w:shd w:val="clear" w:color="auto" w:fill="D9E2F3" w:themeFill="accent1" w:themeFillTint="33"/>
          </w:tcPr>
          <w:p w14:paraId="2894D2DD" w14:textId="77777777" w:rsidR="000B2230" w:rsidRPr="000B0547" w:rsidRDefault="000B2230" w:rsidP="008E153B">
            <w:pPr>
              <w:spacing w:before="120" w:after="120"/>
              <w:rPr>
                <w:rFonts w:ascii="Rockwell Condensed" w:hAnsi="Rockwell Condensed"/>
                <w:szCs w:val="24"/>
              </w:rPr>
            </w:pPr>
            <w:r w:rsidRPr="000B0547">
              <w:rPr>
                <w:rFonts w:ascii="Rockwell Condensed" w:hAnsi="Rockwell Condensed"/>
              </w:rPr>
              <w:t>Date recorded</w:t>
            </w:r>
          </w:p>
        </w:tc>
        <w:tc>
          <w:tcPr>
            <w:tcW w:w="8322" w:type="dxa"/>
            <w:gridSpan w:val="2"/>
            <w:shd w:val="clear" w:color="auto" w:fill="D9E2F3" w:themeFill="accent1" w:themeFillTint="33"/>
          </w:tcPr>
          <w:p w14:paraId="706A41E6" w14:textId="77777777" w:rsidR="000B2230" w:rsidRPr="00F1574C" w:rsidRDefault="000B2230" w:rsidP="008E153B">
            <w:pPr>
              <w:spacing w:before="120" w:after="120"/>
              <w:rPr>
                <w:rFonts w:ascii="Rockwell Condensed" w:hAnsi="Rockwell Condensed"/>
              </w:rPr>
            </w:pPr>
            <w:r w:rsidRPr="00AB37F9">
              <w:rPr>
                <w:rFonts w:ascii="Rockwell Condensed" w:hAnsi="Rockwell Condensed"/>
              </w:rPr>
              <w:t>Staff name</w:t>
            </w:r>
            <w:r>
              <w:rPr>
                <w:rFonts w:ascii="Rockwell Condensed" w:hAnsi="Rockwell Condensed"/>
              </w:rPr>
              <w:t xml:space="preserve"> &amp; role(s)</w:t>
            </w:r>
          </w:p>
        </w:tc>
      </w:tr>
      <w:tr w:rsidR="000B2230" w14:paraId="56130E9B" w14:textId="77777777" w:rsidTr="008E153B">
        <w:tc>
          <w:tcPr>
            <w:tcW w:w="1980" w:type="dxa"/>
          </w:tcPr>
          <w:p w14:paraId="3720DA67" w14:textId="77777777" w:rsidR="000B2230" w:rsidRDefault="000B2230" w:rsidP="008E153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8322" w:type="dxa"/>
            <w:gridSpan w:val="2"/>
          </w:tcPr>
          <w:p w14:paraId="0267757E" w14:textId="77777777" w:rsidR="000B2230" w:rsidRDefault="000B2230" w:rsidP="008E153B">
            <w:pPr>
              <w:spacing w:before="120" w:after="120"/>
              <w:rPr>
                <w:b/>
                <w:szCs w:val="24"/>
              </w:rPr>
            </w:pPr>
          </w:p>
        </w:tc>
      </w:tr>
      <w:tr w:rsidR="000B2230" w14:paraId="6BF02B47" w14:textId="77777777" w:rsidTr="008E153B">
        <w:tc>
          <w:tcPr>
            <w:tcW w:w="10302" w:type="dxa"/>
            <w:gridSpan w:val="3"/>
            <w:shd w:val="clear" w:color="auto" w:fill="D9E2F3" w:themeFill="accent1" w:themeFillTint="33"/>
          </w:tcPr>
          <w:p w14:paraId="3424341E" w14:textId="77777777" w:rsidR="000B2230" w:rsidRDefault="000B2230" w:rsidP="008E153B">
            <w:pPr>
              <w:spacing w:before="120" w:after="120"/>
              <w:rPr>
                <w:b/>
                <w:szCs w:val="24"/>
              </w:rPr>
            </w:pPr>
            <w:r>
              <w:rPr>
                <w:rFonts w:ascii="Rockwell Condensed" w:hAnsi="Rockwell Condensed" w:cs="Arial"/>
                <w:bCs/>
              </w:rPr>
              <w:t xml:space="preserve">Nature of potential conflict  </w:t>
            </w:r>
          </w:p>
        </w:tc>
      </w:tr>
      <w:tr w:rsidR="000B2230" w14:paraId="163865D2" w14:textId="77777777" w:rsidTr="008E153B">
        <w:tc>
          <w:tcPr>
            <w:tcW w:w="10302" w:type="dxa"/>
            <w:gridSpan w:val="3"/>
          </w:tcPr>
          <w:p w14:paraId="77B92E76" w14:textId="77777777" w:rsidR="000B2230" w:rsidRDefault="000B2230" w:rsidP="008E153B">
            <w:pPr>
              <w:spacing w:before="120" w:after="120"/>
              <w:rPr>
                <w:b/>
                <w:szCs w:val="24"/>
              </w:rPr>
            </w:pPr>
          </w:p>
        </w:tc>
      </w:tr>
      <w:tr w:rsidR="000B2230" w14:paraId="0954D0E0" w14:textId="77777777" w:rsidTr="00E47273">
        <w:tc>
          <w:tcPr>
            <w:tcW w:w="2122" w:type="dxa"/>
            <w:gridSpan w:val="2"/>
            <w:shd w:val="clear" w:color="auto" w:fill="F2F2F2" w:themeFill="background1" w:themeFillShade="F2"/>
          </w:tcPr>
          <w:p w14:paraId="0CA6F3FF" w14:textId="77777777" w:rsidR="000B2230" w:rsidRPr="0074433C" w:rsidRDefault="000B2230" w:rsidP="008E153B">
            <w:pPr>
              <w:spacing w:before="120" w:after="120"/>
              <w:rPr>
                <w:rFonts w:ascii="Rockwell Condensed" w:hAnsi="Rockwell Condensed"/>
                <w:color w:val="FF3300"/>
              </w:rPr>
            </w:pPr>
            <w:r>
              <w:rPr>
                <w:rFonts w:ascii="Rockwell Condensed" w:hAnsi="Rockwell Condensed"/>
              </w:rPr>
              <w:t>Deemed</w:t>
            </w:r>
            <w:r w:rsidRPr="0074433C">
              <w:rPr>
                <w:rFonts w:ascii="Rockwell Condensed" w:hAnsi="Rockwell Condensed" w:cs="Arial"/>
              </w:rPr>
              <w:t xml:space="preserve"> a potential risk</w:t>
            </w:r>
            <w:r>
              <w:rPr>
                <w:rFonts w:ascii="Rockwell Condensed" w:hAnsi="Rockwell Condensed" w:cs="Arial"/>
              </w:rPr>
              <w:t xml:space="preserve"> </w:t>
            </w:r>
          </w:p>
        </w:tc>
        <w:tc>
          <w:tcPr>
            <w:tcW w:w="8180" w:type="dxa"/>
          </w:tcPr>
          <w:p w14:paraId="7BEB34C8" w14:textId="77777777" w:rsidR="000B2230" w:rsidRPr="000B2230" w:rsidRDefault="000B2230" w:rsidP="008E153B">
            <w:pPr>
              <w:spacing w:before="120" w:after="120"/>
              <w:rPr>
                <w:bCs/>
              </w:rPr>
            </w:pPr>
            <w:r w:rsidRPr="000B2230">
              <w:rPr>
                <w:bCs/>
              </w:rPr>
              <w:t>Yes / No</w:t>
            </w:r>
          </w:p>
        </w:tc>
      </w:tr>
      <w:tr w:rsidR="000B2230" w14:paraId="78A912F8" w14:textId="77777777" w:rsidTr="00E47273">
        <w:tc>
          <w:tcPr>
            <w:tcW w:w="10302" w:type="dxa"/>
            <w:gridSpan w:val="3"/>
            <w:shd w:val="clear" w:color="auto" w:fill="F2F2F2" w:themeFill="background1" w:themeFillShade="F2"/>
          </w:tcPr>
          <w:p w14:paraId="15DDCA5D" w14:textId="77777777" w:rsidR="000B2230" w:rsidRDefault="000B2230" w:rsidP="008E153B">
            <w:pPr>
              <w:spacing w:before="120" w:after="120"/>
              <w:rPr>
                <w:b/>
              </w:rPr>
            </w:pPr>
            <w:r w:rsidRPr="00A60BD2">
              <w:rPr>
                <w:rFonts w:ascii="Rockwell Condensed" w:hAnsi="Rockwell Condensed" w:cs="Arial"/>
              </w:rPr>
              <w:t>Additional controls put in place to mitigate any potential risk to the integrity of the centre’s assessments and</w:t>
            </w:r>
            <w:r>
              <w:rPr>
                <w:rFonts w:ascii="Rockwell Condensed" w:hAnsi="Rockwell Condensed" w:cs="Arial"/>
              </w:rPr>
              <w:t>/or</w:t>
            </w:r>
            <w:r w:rsidRPr="00A60BD2">
              <w:rPr>
                <w:rFonts w:ascii="Rockwell Condensed" w:hAnsi="Rockwell Condensed" w:cs="Arial"/>
              </w:rPr>
              <w:t xml:space="preserve"> </w:t>
            </w:r>
            <w:r w:rsidRPr="00A60BD2">
              <w:rPr>
                <w:rFonts w:ascii="Rockwell Condensed" w:eastAsia="Calibri" w:hAnsi="Rockwell Condensed" w:cs="Calibri"/>
              </w:rPr>
              <w:t>to ensure fairness in later process reviews and appeals</w:t>
            </w:r>
          </w:p>
        </w:tc>
      </w:tr>
      <w:tr w:rsidR="000B2230" w14:paraId="6BBED78B" w14:textId="77777777" w:rsidTr="008E153B">
        <w:tc>
          <w:tcPr>
            <w:tcW w:w="10302" w:type="dxa"/>
            <w:gridSpan w:val="3"/>
          </w:tcPr>
          <w:p w14:paraId="0949B559" w14:textId="77777777" w:rsidR="000B2230" w:rsidRDefault="000B2230" w:rsidP="008E153B">
            <w:pPr>
              <w:spacing w:before="120" w:after="120"/>
              <w:rPr>
                <w:b/>
              </w:rPr>
            </w:pPr>
          </w:p>
        </w:tc>
      </w:tr>
    </w:tbl>
    <w:p w14:paraId="5FCBCF96" w14:textId="0631118C" w:rsidR="008D6D58" w:rsidRDefault="008D6D58" w:rsidP="000B2230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</w:pPr>
      <w:r w:rsidRPr="00EF2CA6">
        <w:rPr>
          <w:rFonts w:ascii="Verdana" w:hAnsi="Verdana" w:cs="Arial"/>
          <w:b/>
          <w:bCs/>
          <w:color w:val="595959" w:themeColor="text1" w:themeTint="A6"/>
          <w:sz w:val="18"/>
          <w:szCs w:val="18"/>
        </w:rPr>
        <w:t xml:space="preserve">This record will be retained </w:t>
      </w:r>
      <w:r w:rsidRPr="00EF2CA6"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  <w:t>until the published deadline for appeals has passed or until any on-going appeal, malpractice investigation or other results enquiry has been completed, whichever is later</w:t>
      </w:r>
    </w:p>
    <w:p w14:paraId="237AD02C" w14:textId="3990F72F" w:rsidR="008B635F" w:rsidRDefault="008B635F" w:rsidP="000B2230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</w:pPr>
    </w:p>
    <w:p w14:paraId="09679FB1" w14:textId="67660611" w:rsidR="008B635F" w:rsidRDefault="008B635F" w:rsidP="000B2230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</w:pPr>
    </w:p>
    <w:p w14:paraId="50039FEE" w14:textId="361B3A90" w:rsidR="008B635F" w:rsidRDefault="008B635F" w:rsidP="000B2230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</w:pPr>
    </w:p>
    <w:p w14:paraId="4DA27CA1" w14:textId="6D940FEA" w:rsidR="008B635F" w:rsidRDefault="008B635F" w:rsidP="000B2230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</w:pPr>
    </w:p>
    <w:p w14:paraId="643385A2" w14:textId="279A7AFC" w:rsidR="008B635F" w:rsidRDefault="008B635F" w:rsidP="000B2230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  <w:lang w:eastAsia="en-GB"/>
        </w:rPr>
      </w:pPr>
    </w:p>
    <w:sectPr w:rsidR="008B635F" w:rsidSect="00875629">
      <w:pgSz w:w="11900" w:h="16840"/>
      <w:pgMar w:top="624" w:right="794" w:bottom="816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1CE5" w14:textId="77777777" w:rsidR="006D48DF" w:rsidRDefault="006D48DF" w:rsidP="000E2F68">
      <w:r>
        <w:separator/>
      </w:r>
    </w:p>
  </w:endnote>
  <w:endnote w:type="continuationSeparator" w:id="0">
    <w:p w14:paraId="629054DC" w14:textId="77777777" w:rsidR="006D48DF" w:rsidRDefault="006D48DF" w:rsidP="000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5113" w14:textId="77777777" w:rsidR="006D48DF" w:rsidRDefault="006D48DF" w:rsidP="000E2F68">
      <w:r>
        <w:separator/>
      </w:r>
    </w:p>
  </w:footnote>
  <w:footnote w:type="continuationSeparator" w:id="0">
    <w:p w14:paraId="3708AAAA" w14:textId="77777777" w:rsidR="006D48DF" w:rsidRDefault="006D48DF" w:rsidP="000E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A53"/>
    <w:multiLevelType w:val="hybridMultilevel"/>
    <w:tmpl w:val="F78071DE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FE5"/>
    <w:multiLevelType w:val="hybridMultilevel"/>
    <w:tmpl w:val="B66CDE0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1EEF"/>
    <w:multiLevelType w:val="multilevel"/>
    <w:tmpl w:val="F47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6F2D"/>
    <w:multiLevelType w:val="hybridMultilevel"/>
    <w:tmpl w:val="9CB8E87C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664F"/>
    <w:multiLevelType w:val="hybridMultilevel"/>
    <w:tmpl w:val="0068F1B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507F"/>
    <w:multiLevelType w:val="hybridMultilevel"/>
    <w:tmpl w:val="E1E48E80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6A25"/>
    <w:multiLevelType w:val="multilevel"/>
    <w:tmpl w:val="AAF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0A3493"/>
    <w:multiLevelType w:val="hybridMultilevel"/>
    <w:tmpl w:val="408C9CB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008"/>
    <w:multiLevelType w:val="multilevel"/>
    <w:tmpl w:val="D86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71363"/>
    <w:multiLevelType w:val="hybridMultilevel"/>
    <w:tmpl w:val="9AE81F46"/>
    <w:lvl w:ilvl="0" w:tplc="D1C4D1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</w:rPr>
    </w:lvl>
    <w:lvl w:ilvl="1" w:tplc="D1C4D1B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b/>
        <w:i w:val="0"/>
        <w:color w:val="00339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677A6"/>
    <w:multiLevelType w:val="hybridMultilevel"/>
    <w:tmpl w:val="BC243BD0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E011F"/>
    <w:multiLevelType w:val="multilevel"/>
    <w:tmpl w:val="691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D2032F"/>
    <w:multiLevelType w:val="multilevel"/>
    <w:tmpl w:val="C0C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47830"/>
    <w:multiLevelType w:val="hybridMultilevel"/>
    <w:tmpl w:val="46B4F62C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38317">
    <w:abstractNumId w:val="5"/>
  </w:num>
  <w:num w:numId="2" w16cid:durableId="837421496">
    <w:abstractNumId w:val="0"/>
  </w:num>
  <w:num w:numId="3" w16cid:durableId="709383643">
    <w:abstractNumId w:val="4"/>
  </w:num>
  <w:num w:numId="4" w16cid:durableId="462431242">
    <w:abstractNumId w:val="8"/>
  </w:num>
  <w:num w:numId="5" w16cid:durableId="1482891974">
    <w:abstractNumId w:val="1"/>
  </w:num>
  <w:num w:numId="6" w16cid:durableId="2005355301">
    <w:abstractNumId w:val="6"/>
  </w:num>
  <w:num w:numId="7" w16cid:durableId="1228877136">
    <w:abstractNumId w:val="10"/>
  </w:num>
  <w:num w:numId="8" w16cid:durableId="1836648651">
    <w:abstractNumId w:val="11"/>
  </w:num>
  <w:num w:numId="9" w16cid:durableId="1848933638">
    <w:abstractNumId w:val="3"/>
  </w:num>
  <w:num w:numId="10" w16cid:durableId="847257993">
    <w:abstractNumId w:val="12"/>
  </w:num>
  <w:num w:numId="11" w16cid:durableId="900793133">
    <w:abstractNumId w:val="15"/>
  </w:num>
  <w:num w:numId="12" w16cid:durableId="1386829056">
    <w:abstractNumId w:val="2"/>
  </w:num>
  <w:num w:numId="13" w16cid:durableId="1431707284">
    <w:abstractNumId w:val="14"/>
  </w:num>
  <w:num w:numId="14" w16cid:durableId="1579629875">
    <w:abstractNumId w:val="13"/>
  </w:num>
  <w:num w:numId="15" w16cid:durableId="448285889">
    <w:abstractNumId w:val="16"/>
  </w:num>
  <w:num w:numId="16" w16cid:durableId="1570916243">
    <w:abstractNumId w:val="9"/>
  </w:num>
  <w:num w:numId="17" w16cid:durableId="3377765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92"/>
    <w:rsid w:val="00006BE3"/>
    <w:rsid w:val="00034D95"/>
    <w:rsid w:val="0005673E"/>
    <w:rsid w:val="00084B25"/>
    <w:rsid w:val="00086C73"/>
    <w:rsid w:val="00096806"/>
    <w:rsid w:val="000A3458"/>
    <w:rsid w:val="000B0547"/>
    <w:rsid w:val="000B1CB9"/>
    <w:rsid w:val="000B2230"/>
    <w:rsid w:val="000E2F68"/>
    <w:rsid w:val="000F55C2"/>
    <w:rsid w:val="00103108"/>
    <w:rsid w:val="0010407D"/>
    <w:rsid w:val="0012513A"/>
    <w:rsid w:val="00152874"/>
    <w:rsid w:val="00166B20"/>
    <w:rsid w:val="00191C34"/>
    <w:rsid w:val="001A3CF7"/>
    <w:rsid w:val="001A5EDA"/>
    <w:rsid w:val="001F7DCD"/>
    <w:rsid w:val="002024C9"/>
    <w:rsid w:val="00202715"/>
    <w:rsid w:val="002270B3"/>
    <w:rsid w:val="00231E62"/>
    <w:rsid w:val="00262C87"/>
    <w:rsid w:val="00265F73"/>
    <w:rsid w:val="002A3262"/>
    <w:rsid w:val="002D1A17"/>
    <w:rsid w:val="002F26D2"/>
    <w:rsid w:val="002F4124"/>
    <w:rsid w:val="003165F8"/>
    <w:rsid w:val="0034291B"/>
    <w:rsid w:val="0036154D"/>
    <w:rsid w:val="003C4E17"/>
    <w:rsid w:val="003C66EC"/>
    <w:rsid w:val="003F465C"/>
    <w:rsid w:val="004007DE"/>
    <w:rsid w:val="00431A2C"/>
    <w:rsid w:val="00451C78"/>
    <w:rsid w:val="004720D9"/>
    <w:rsid w:val="004A41FA"/>
    <w:rsid w:val="004C607A"/>
    <w:rsid w:val="004D1CBD"/>
    <w:rsid w:val="004D76BF"/>
    <w:rsid w:val="004F6938"/>
    <w:rsid w:val="00524473"/>
    <w:rsid w:val="00536B50"/>
    <w:rsid w:val="0057076B"/>
    <w:rsid w:val="005C54EF"/>
    <w:rsid w:val="005D336C"/>
    <w:rsid w:val="005E2828"/>
    <w:rsid w:val="00610976"/>
    <w:rsid w:val="0061217B"/>
    <w:rsid w:val="00622039"/>
    <w:rsid w:val="006423E4"/>
    <w:rsid w:val="006432F3"/>
    <w:rsid w:val="006446BF"/>
    <w:rsid w:val="00644B5A"/>
    <w:rsid w:val="00644B9E"/>
    <w:rsid w:val="00671E8F"/>
    <w:rsid w:val="006A2C9B"/>
    <w:rsid w:val="006C485A"/>
    <w:rsid w:val="006D48DF"/>
    <w:rsid w:val="00705837"/>
    <w:rsid w:val="00732603"/>
    <w:rsid w:val="00737B93"/>
    <w:rsid w:val="0074433C"/>
    <w:rsid w:val="00792BD8"/>
    <w:rsid w:val="007D099F"/>
    <w:rsid w:val="007E09DF"/>
    <w:rsid w:val="007E2F21"/>
    <w:rsid w:val="00862CBB"/>
    <w:rsid w:val="00867D38"/>
    <w:rsid w:val="0087438F"/>
    <w:rsid w:val="00875629"/>
    <w:rsid w:val="00887B5D"/>
    <w:rsid w:val="008A01B3"/>
    <w:rsid w:val="008B635F"/>
    <w:rsid w:val="008D6D58"/>
    <w:rsid w:val="00930E92"/>
    <w:rsid w:val="009321C2"/>
    <w:rsid w:val="0093353A"/>
    <w:rsid w:val="00940E17"/>
    <w:rsid w:val="00975071"/>
    <w:rsid w:val="00990A04"/>
    <w:rsid w:val="00990F94"/>
    <w:rsid w:val="009C75B9"/>
    <w:rsid w:val="009E0E83"/>
    <w:rsid w:val="009F1F5C"/>
    <w:rsid w:val="009F3D2A"/>
    <w:rsid w:val="00A078EB"/>
    <w:rsid w:val="00A34853"/>
    <w:rsid w:val="00A4082F"/>
    <w:rsid w:val="00A53FC4"/>
    <w:rsid w:val="00A56226"/>
    <w:rsid w:val="00A5691D"/>
    <w:rsid w:val="00A60BD2"/>
    <w:rsid w:val="00A70CFC"/>
    <w:rsid w:val="00A759CF"/>
    <w:rsid w:val="00AB4A6A"/>
    <w:rsid w:val="00AB7022"/>
    <w:rsid w:val="00AB754D"/>
    <w:rsid w:val="00AE0818"/>
    <w:rsid w:val="00AE0D92"/>
    <w:rsid w:val="00AE107B"/>
    <w:rsid w:val="00AF27CB"/>
    <w:rsid w:val="00B0500E"/>
    <w:rsid w:val="00B3366B"/>
    <w:rsid w:val="00B66A88"/>
    <w:rsid w:val="00B96A86"/>
    <w:rsid w:val="00BF12A1"/>
    <w:rsid w:val="00C15318"/>
    <w:rsid w:val="00C36A1B"/>
    <w:rsid w:val="00C47D98"/>
    <w:rsid w:val="00C5318D"/>
    <w:rsid w:val="00C76801"/>
    <w:rsid w:val="00CE24EF"/>
    <w:rsid w:val="00CF7CA7"/>
    <w:rsid w:val="00D13FFA"/>
    <w:rsid w:val="00D568B0"/>
    <w:rsid w:val="00D73F84"/>
    <w:rsid w:val="00D93676"/>
    <w:rsid w:val="00D94F74"/>
    <w:rsid w:val="00DA6287"/>
    <w:rsid w:val="00DB1524"/>
    <w:rsid w:val="00DC4A37"/>
    <w:rsid w:val="00DD7B15"/>
    <w:rsid w:val="00DF1A44"/>
    <w:rsid w:val="00E1153E"/>
    <w:rsid w:val="00E1744B"/>
    <w:rsid w:val="00E35CFE"/>
    <w:rsid w:val="00E47273"/>
    <w:rsid w:val="00E54B5E"/>
    <w:rsid w:val="00E579ED"/>
    <w:rsid w:val="00E939EB"/>
    <w:rsid w:val="00E9472E"/>
    <w:rsid w:val="00EE5580"/>
    <w:rsid w:val="00EE62FD"/>
    <w:rsid w:val="00EF1BEE"/>
    <w:rsid w:val="00EF229E"/>
    <w:rsid w:val="00EF2CA6"/>
    <w:rsid w:val="00EF6FD9"/>
    <w:rsid w:val="00F023E8"/>
    <w:rsid w:val="00F11BA0"/>
    <w:rsid w:val="00F1574C"/>
    <w:rsid w:val="00F17BF1"/>
    <w:rsid w:val="00F262A6"/>
    <w:rsid w:val="00F47F08"/>
    <w:rsid w:val="00F6426A"/>
    <w:rsid w:val="00FA7925"/>
    <w:rsid w:val="00FD7168"/>
    <w:rsid w:val="00FE1456"/>
    <w:rsid w:val="00FE3F62"/>
    <w:rsid w:val="00FF094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F603"/>
  <w15:chartTrackingRefBased/>
  <w15:docId w15:val="{75B431BD-5F1A-324D-9EBD-AD78E5CD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24"/>
    <w:rPr>
      <w:rFonts w:ascii="Rockwell" w:hAnsi="Rockwell"/>
      <w:sz w:val="22"/>
    </w:rPr>
  </w:style>
  <w:style w:type="paragraph" w:styleId="Heading3">
    <w:name w:val="heading 3"/>
    <w:basedOn w:val="Normal"/>
    <w:link w:val="Heading3Char"/>
    <w:uiPriority w:val="9"/>
    <w:qFormat/>
    <w:rsid w:val="00B050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0E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inglevel1">
    <w:name w:val="Heading level 1"/>
    <w:basedOn w:val="Normal"/>
    <w:qFormat/>
    <w:rsid w:val="000F55C2"/>
    <w:pPr>
      <w:spacing w:after="240"/>
      <w:outlineLvl w:val="0"/>
    </w:pPr>
    <w:rPr>
      <w:rFonts w:eastAsia="Times New Roman" w:cs="Times New Roman"/>
      <w:b/>
      <w:color w:val="003399"/>
      <w:sz w:val="24"/>
      <w:szCs w:val="28"/>
      <w:lang w:eastAsia="en-GB"/>
    </w:rPr>
  </w:style>
  <w:style w:type="paragraph" w:customStyle="1" w:styleId="Default">
    <w:name w:val="Default"/>
    <w:rsid w:val="00C768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01"/>
    <w:pPr>
      <w:spacing w:after="200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01"/>
    <w:rPr>
      <w:rFonts w:eastAsiaTheme="minorEastAsia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1"/>
    <w:qFormat/>
    <w:rsid w:val="00C76801"/>
    <w:pPr>
      <w:spacing w:after="200" w:line="276" w:lineRule="auto"/>
      <w:ind w:left="720"/>
      <w:contextualSpacing/>
    </w:pPr>
    <w:rPr>
      <w:rFonts w:eastAsiaTheme="minorEastAsia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CB9"/>
    <w:pPr>
      <w:tabs>
        <w:tab w:val="center" w:pos="4513"/>
        <w:tab w:val="right" w:pos="9026"/>
      </w:tabs>
    </w:pPr>
    <w:rPr>
      <w:rFonts w:eastAsiaTheme="minorEastAsi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B1CB9"/>
    <w:rPr>
      <w:rFonts w:eastAsiaTheme="minorEastAsia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B9"/>
    <w:pPr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B9"/>
    <w:rPr>
      <w:rFonts w:eastAsiaTheme="minorEastAsi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050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rsid w:val="000E2F68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68"/>
    <w:rPr>
      <w:rFonts w:ascii="Rockwell" w:hAnsi="Rockwell"/>
      <w:sz w:val="22"/>
    </w:rPr>
  </w:style>
  <w:style w:type="character" w:styleId="Hyperlink">
    <w:name w:val="Hyperlink"/>
    <w:basedOn w:val="DefaultParagraphFont"/>
    <w:uiPriority w:val="99"/>
    <w:unhideWhenUsed/>
    <w:rsid w:val="006423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3E4"/>
    <w:rPr>
      <w:color w:val="605E5C"/>
      <w:shd w:val="clear" w:color="auto" w:fill="E1DFDD"/>
    </w:rPr>
  </w:style>
  <w:style w:type="paragraph" w:customStyle="1" w:styleId="Headinglevel2">
    <w:name w:val="Heading level 2"/>
    <w:basedOn w:val="Normal"/>
    <w:qFormat/>
    <w:rsid w:val="006C485A"/>
    <w:pPr>
      <w:keepNext/>
      <w:spacing w:before="480" w:after="240"/>
      <w:outlineLvl w:val="1"/>
    </w:pPr>
    <w:rPr>
      <w:rFonts w:eastAsia="Times New Roman" w:cs="Times New Roman"/>
      <w:b/>
      <w:color w:val="FF3300"/>
      <w:sz w:val="24"/>
      <w:lang w:eastAsia="en-GB"/>
    </w:rPr>
  </w:style>
  <w:style w:type="paragraph" w:customStyle="1" w:styleId="StdPara">
    <w:name w:val="Std Para"/>
    <w:basedOn w:val="Normal"/>
    <w:qFormat/>
    <w:rsid w:val="004C607A"/>
    <w:pPr>
      <w:spacing w:before="240" w:after="120" w:line="264" w:lineRule="auto"/>
    </w:pPr>
    <w:rPr>
      <w:rFonts w:asciiTheme="minorHAnsi" w:hAnsiTheme="minorHAnsi" w:cs="Times New Roman"/>
      <w:sz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607A"/>
    <w:rPr>
      <w:rFonts w:ascii="Rockwell" w:eastAsiaTheme="minorEastAsia" w:hAnsi="Rockwell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C607A"/>
    <w:rPr>
      <w:rFonts w:ascii="Calibri" w:hAnsi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07A"/>
    <w:rPr>
      <w:rFonts w:ascii="Calibri" w:hAnsi="Calibri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31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cq.org.uk/exams-office/general-regul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D3B7ECE55F24DAB60B7C735A5997C" ma:contentTypeVersion="7" ma:contentTypeDescription="Create a new document." ma:contentTypeScope="" ma:versionID="2013040e4602dd5a31eeae640034820b">
  <xsd:schema xmlns:xsd="http://www.w3.org/2001/XMLSchema" xmlns:xs="http://www.w3.org/2001/XMLSchema" xmlns:p="http://schemas.microsoft.com/office/2006/metadata/properties" xmlns:ns2="60b98eed-d31d-4370-9bd7-21474b557544" targetNamespace="http://schemas.microsoft.com/office/2006/metadata/properties" ma:root="true" ma:fieldsID="45c402fd8f43a8e78f3b2acc31eb332b" ns2:_="">
    <xsd:import namespace="60b98eed-d31d-4370-9bd7-21474b557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8eed-d31d-4370-9bd7-21474b557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A7DC8-DB75-4CC7-AAA6-867A126B1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60C2F-095A-4072-AB34-7B523DEC4857}"/>
</file>

<file path=customXml/itemProps3.xml><?xml version="1.0" encoding="utf-8"?>
<ds:datastoreItem xmlns:ds="http://schemas.openxmlformats.org/officeDocument/2006/customXml" ds:itemID="{3F19C967-DAC5-4B47-BEAE-57713D2ED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B2F37-9AED-4A1A-A747-35E9253E4CB6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0b98eed-d31d-4370-9bd7-21474b55754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Passmore</dc:creator>
  <cp:keywords/>
  <dc:description/>
  <cp:lastModifiedBy>J Bishell</cp:lastModifiedBy>
  <cp:revision>6</cp:revision>
  <dcterms:created xsi:type="dcterms:W3CDTF">2023-10-20T08:09:00Z</dcterms:created>
  <dcterms:modified xsi:type="dcterms:W3CDTF">2023-10-20T08:14:00Z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0x0101004F8D3B7ECE55F24DAB60B7C735A5997C</vt:lpwstr>
  </property>
  <property fmtid="{D5CDD505-2E9C-101B-9397-08002B2CF9AE}" pid="3" name="Order">
    <vt:r8>281100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